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31EA3"/>
    <w:p w14:paraId="4B755ADB"/>
    <w:p w14:paraId="113978A7"/>
    <w:p w14:paraId="381F1330"/>
    <w:p w14:paraId="31D52EF6">
      <w:pPr>
        <w:ind w:firstLine="0" w:firstLineChars="0"/>
        <w:jc w:val="center"/>
        <w:rPr>
          <w:rFonts w:ascii="黑体" w:hAnsi="黑体" w:eastAsia="黑体"/>
          <w:sz w:val="40"/>
          <w:szCs w:val="44"/>
        </w:rPr>
      </w:pPr>
      <w:r>
        <w:rPr>
          <w:rFonts w:hint="eastAsia" w:ascii="黑体" w:hAnsi="黑体" w:eastAsia="黑体"/>
          <w:sz w:val="40"/>
          <w:szCs w:val="44"/>
        </w:rPr>
        <w:t>华丰动力股份有限公司</w:t>
      </w:r>
    </w:p>
    <w:p w14:paraId="2789F27E">
      <w:pPr>
        <w:ind w:firstLine="0" w:firstLineChars="0"/>
        <w:jc w:val="center"/>
        <w:rPr>
          <w:rFonts w:ascii="黑体" w:hAnsi="黑体" w:eastAsia="黑体"/>
          <w:sz w:val="40"/>
          <w:szCs w:val="44"/>
        </w:rPr>
      </w:pPr>
      <w:r>
        <w:rPr>
          <w:rFonts w:ascii="黑体" w:hAnsi="黑体" w:eastAsia="黑体"/>
          <w:sz w:val="40"/>
          <w:szCs w:val="44"/>
        </w:rPr>
        <w:t>2026年度财务报表及内部控制审计服务</w:t>
      </w:r>
    </w:p>
    <w:p w14:paraId="06481C88">
      <w:pPr>
        <w:ind w:firstLine="0" w:firstLineChars="0"/>
        <w:jc w:val="center"/>
        <w:rPr>
          <w:rFonts w:ascii="黑体" w:hAnsi="黑体" w:eastAsia="黑体"/>
          <w:sz w:val="40"/>
          <w:szCs w:val="44"/>
        </w:rPr>
      </w:pPr>
      <w:r>
        <w:rPr>
          <w:rFonts w:ascii="黑体" w:hAnsi="黑体" w:eastAsia="黑体"/>
          <w:sz w:val="40"/>
          <w:szCs w:val="44"/>
        </w:rPr>
        <w:t>招标文件</w:t>
      </w:r>
    </w:p>
    <w:p w14:paraId="694330AE">
      <w:pPr>
        <w:ind w:firstLine="800"/>
        <w:rPr>
          <w:rFonts w:ascii="黑体" w:hAnsi="黑体" w:eastAsia="黑体"/>
          <w:sz w:val="40"/>
          <w:szCs w:val="44"/>
        </w:rPr>
      </w:pPr>
    </w:p>
    <w:p w14:paraId="4BB0CF50">
      <w:pPr>
        <w:ind w:firstLine="800"/>
        <w:rPr>
          <w:rFonts w:ascii="黑体" w:hAnsi="黑体" w:eastAsia="黑体"/>
          <w:sz w:val="40"/>
          <w:szCs w:val="44"/>
        </w:rPr>
      </w:pPr>
    </w:p>
    <w:p w14:paraId="7CCC3785">
      <w:pPr>
        <w:ind w:firstLine="800"/>
        <w:rPr>
          <w:rFonts w:ascii="黑体" w:hAnsi="黑体" w:eastAsia="黑体"/>
          <w:sz w:val="40"/>
          <w:szCs w:val="44"/>
        </w:rPr>
      </w:pPr>
    </w:p>
    <w:p w14:paraId="7A81BD3E">
      <w:pPr>
        <w:ind w:firstLine="800"/>
        <w:rPr>
          <w:rFonts w:ascii="黑体" w:hAnsi="黑体" w:eastAsia="黑体"/>
          <w:sz w:val="40"/>
          <w:szCs w:val="44"/>
        </w:rPr>
      </w:pPr>
    </w:p>
    <w:p w14:paraId="52A9082C">
      <w:pPr>
        <w:ind w:firstLine="0" w:firstLineChars="0"/>
        <w:rPr>
          <w:rFonts w:ascii="黑体" w:hAnsi="黑体" w:eastAsia="黑体"/>
          <w:sz w:val="40"/>
          <w:szCs w:val="44"/>
        </w:rPr>
      </w:pPr>
    </w:p>
    <w:p w14:paraId="4E851FCB">
      <w:pPr>
        <w:ind w:firstLine="0" w:firstLineChars="0"/>
        <w:rPr>
          <w:rFonts w:ascii="黑体" w:hAnsi="黑体" w:eastAsia="黑体"/>
          <w:sz w:val="28"/>
          <w:szCs w:val="44"/>
        </w:rPr>
      </w:pPr>
      <w:r>
        <w:rPr>
          <w:rFonts w:hint="eastAsia" w:ascii="黑体" w:hAnsi="黑体" w:eastAsia="黑体"/>
          <w:sz w:val="28"/>
          <w:szCs w:val="44"/>
        </w:rPr>
        <w:t>招</w:t>
      </w:r>
      <w:r>
        <w:rPr>
          <w:rFonts w:ascii="黑体" w:hAnsi="黑体" w:eastAsia="黑体"/>
          <w:sz w:val="28"/>
          <w:szCs w:val="44"/>
        </w:rPr>
        <w:t xml:space="preserve"> </w:t>
      </w:r>
      <w:r>
        <w:rPr>
          <w:rFonts w:hint="eastAsia" w:ascii="黑体" w:hAnsi="黑体" w:eastAsia="黑体"/>
          <w:sz w:val="28"/>
          <w:szCs w:val="44"/>
        </w:rPr>
        <w:t>标 人：华丰动力股份有限公司</w:t>
      </w:r>
    </w:p>
    <w:p w14:paraId="6DDEA01F">
      <w:pPr>
        <w:ind w:left="1417" w:hanging="1416" w:hangingChars="506"/>
        <w:rPr>
          <w:rFonts w:ascii="黑体" w:hAnsi="黑体" w:eastAsia="黑体"/>
          <w:sz w:val="28"/>
          <w:szCs w:val="44"/>
        </w:rPr>
      </w:pPr>
      <w:r>
        <w:rPr>
          <w:rFonts w:hint="eastAsia" w:ascii="黑体" w:hAnsi="黑体" w:eastAsia="黑体"/>
          <w:sz w:val="28"/>
          <w:szCs w:val="44"/>
        </w:rPr>
        <w:t>招标项目：202</w:t>
      </w:r>
      <w:r>
        <w:rPr>
          <w:rFonts w:ascii="黑体" w:hAnsi="黑体" w:eastAsia="黑体"/>
          <w:sz w:val="28"/>
          <w:szCs w:val="44"/>
        </w:rPr>
        <w:t>6</w:t>
      </w:r>
      <w:r>
        <w:rPr>
          <w:rFonts w:hint="eastAsia" w:ascii="黑体" w:hAnsi="黑体" w:eastAsia="黑体"/>
          <w:sz w:val="28"/>
          <w:szCs w:val="44"/>
        </w:rPr>
        <w:t>年度财务报表及内部控制审计服务</w:t>
      </w:r>
    </w:p>
    <w:p w14:paraId="18E2A4AD">
      <w:pPr>
        <w:ind w:firstLine="800"/>
        <w:jc w:val="center"/>
        <w:rPr>
          <w:rFonts w:ascii="黑体" w:hAnsi="黑体" w:eastAsia="黑体"/>
          <w:sz w:val="40"/>
          <w:szCs w:val="44"/>
        </w:rPr>
      </w:pPr>
    </w:p>
    <w:p w14:paraId="46D6260A">
      <w:pPr>
        <w:ind w:firstLine="0" w:firstLineChars="0"/>
        <w:jc w:val="center"/>
        <w:rPr>
          <w:rFonts w:ascii="黑体" w:hAnsi="黑体" w:eastAsia="黑体"/>
          <w:sz w:val="28"/>
          <w:szCs w:val="44"/>
        </w:rPr>
      </w:pPr>
      <w:r>
        <w:rPr>
          <w:rFonts w:hint="eastAsia" w:ascii="黑体" w:hAnsi="黑体" w:eastAsia="黑体"/>
          <w:sz w:val="28"/>
          <w:szCs w:val="44"/>
        </w:rPr>
        <w:t>二〇二六年六月</w:t>
      </w:r>
    </w:p>
    <w:p w14:paraId="6EC044D3"/>
    <w:p w14:paraId="190462C4"/>
    <w:p w14:paraId="322FC29B"/>
    <w:p w14:paraId="291CBFEA"/>
    <w:p w14:paraId="0F8A6A0D"/>
    <w:p w14:paraId="7C0E8303"/>
    <w:sdt>
      <w:sdtPr>
        <w:rPr>
          <w:rFonts w:ascii="宋体" w:hAnsi="宋体" w:eastAsia="宋体" w:cstheme="minorBidi"/>
          <w:color w:val="auto"/>
          <w:kern w:val="2"/>
          <w:sz w:val="24"/>
          <w:szCs w:val="24"/>
          <w:lang w:val="zh-CN"/>
        </w:rPr>
        <w:id w:val="-656763496"/>
        <w:docPartObj>
          <w:docPartGallery w:val="Table of Contents"/>
          <w:docPartUnique/>
        </w:docPartObj>
      </w:sdtPr>
      <w:sdtEndPr>
        <w:rPr>
          <w:rFonts w:ascii="宋体" w:hAnsi="宋体" w:eastAsia="宋体" w:cstheme="minorBidi"/>
          <w:b/>
          <w:bCs/>
          <w:color w:val="auto"/>
          <w:kern w:val="2"/>
          <w:sz w:val="24"/>
          <w:szCs w:val="24"/>
          <w:lang w:val="zh-CN"/>
        </w:rPr>
      </w:sdtEndPr>
      <w:sdtContent>
        <w:p w14:paraId="2ADDA854">
          <w:pPr>
            <w:pStyle w:val="40"/>
            <w:adjustRightInd w:val="0"/>
            <w:snapToGrid w:val="0"/>
            <w:spacing w:before="156" w:beforeLines="50" w:line="240" w:lineRule="auto"/>
            <w:jc w:val="center"/>
            <w:rPr>
              <w:rFonts w:ascii="宋体" w:hAnsi="宋体" w:eastAsia="宋体"/>
              <w:b/>
              <w:color w:val="auto"/>
            </w:rPr>
          </w:pPr>
          <w:r>
            <w:rPr>
              <w:rFonts w:ascii="宋体" w:hAnsi="宋体" w:eastAsia="宋体"/>
              <w:b/>
              <w:color w:val="auto"/>
              <w:lang w:val="zh-CN"/>
            </w:rPr>
            <w:t>目</w:t>
          </w:r>
          <w:r>
            <w:rPr>
              <w:rFonts w:hint="eastAsia" w:ascii="宋体" w:hAnsi="宋体" w:eastAsia="宋体"/>
              <w:b/>
              <w:color w:val="auto"/>
              <w:lang w:val="zh-CN"/>
            </w:rPr>
            <w:t xml:space="preserve"> </w:t>
          </w:r>
          <w:r>
            <w:rPr>
              <w:rFonts w:ascii="宋体" w:hAnsi="宋体" w:eastAsia="宋体"/>
              <w:b/>
              <w:color w:val="auto"/>
              <w:lang w:val="zh-CN"/>
            </w:rPr>
            <w:t xml:space="preserve"> 录</w:t>
          </w:r>
        </w:p>
        <w:p w14:paraId="5FE14D59">
          <w:pPr>
            <w:pStyle w:val="15"/>
            <w:keepNext w:val="0"/>
            <w:keepLines w:val="0"/>
            <w:pageBreakBefore w:val="0"/>
            <w:widowControl w:val="0"/>
            <w:tabs>
              <w:tab w:val="right" w:leader="dot" w:pos="8312"/>
              <w:tab w:val="clear" w:pos="8302"/>
            </w:tabs>
            <w:kinsoku/>
            <w:wordWrap/>
            <w:overflowPunct/>
            <w:topLinePunct w:val="0"/>
            <w:autoSpaceDE/>
            <w:autoSpaceDN/>
            <w:bidi w:val="0"/>
            <w:adjustRightInd w:val="0"/>
            <w:snapToGrid w:val="0"/>
            <w:spacing w:line="360" w:lineRule="auto"/>
            <w:ind w:left="0" w:firstLine="0" w:firstLineChars="0"/>
            <w:textAlignment w:val="auto"/>
          </w:pPr>
          <w:r>
            <w:rPr>
              <w:b w:val="0"/>
              <w:bCs w:val="0"/>
              <w:caps w:val="0"/>
            </w:rPr>
            <w:fldChar w:fldCharType="begin"/>
          </w:r>
          <w:r>
            <w:rPr>
              <w:b w:val="0"/>
              <w:bCs w:val="0"/>
              <w:caps w:val="0"/>
            </w:rPr>
            <w:instrText xml:space="preserve"> TOC \o "1-3" \h \z \u </w:instrText>
          </w:r>
          <w:r>
            <w:rPr>
              <w:b w:val="0"/>
              <w:bCs w:val="0"/>
              <w:caps w:val="0"/>
            </w:rPr>
            <w:fldChar w:fldCharType="separate"/>
          </w:r>
          <w:r>
            <w:rPr>
              <w:bCs w:val="0"/>
              <w:caps w:val="0"/>
            </w:rPr>
            <w:fldChar w:fldCharType="begin"/>
          </w:r>
          <w:r>
            <w:rPr>
              <w:bCs w:val="0"/>
              <w:caps w:val="0"/>
            </w:rPr>
            <w:instrText xml:space="preserve"> HYPERLINK \l _Toc9437 </w:instrText>
          </w:r>
          <w:r>
            <w:rPr>
              <w:bCs w:val="0"/>
              <w:caps w:val="0"/>
            </w:rPr>
            <w:fldChar w:fldCharType="separate"/>
          </w:r>
          <w:r>
            <w:rPr>
              <w:rFonts w:hint="eastAsia"/>
            </w:rPr>
            <w:t>第一部分</w:t>
          </w:r>
          <w:r>
            <w:t xml:space="preserve"> </w:t>
          </w:r>
          <w:r>
            <w:rPr>
              <w:rFonts w:hint="eastAsia"/>
              <w:lang w:val="en-US" w:eastAsia="zh-CN"/>
            </w:rPr>
            <w:t>招标公告</w:t>
          </w:r>
          <w:r>
            <w:tab/>
          </w:r>
          <w:r>
            <w:fldChar w:fldCharType="begin"/>
          </w:r>
          <w:r>
            <w:instrText xml:space="preserve"> PAGEREF _Toc9437 \h </w:instrText>
          </w:r>
          <w:r>
            <w:fldChar w:fldCharType="separate"/>
          </w:r>
          <w:r>
            <w:t>4</w:t>
          </w:r>
          <w:r>
            <w:fldChar w:fldCharType="end"/>
          </w:r>
          <w:r>
            <w:rPr>
              <w:bCs w:val="0"/>
              <w:caps w:val="0"/>
            </w:rPr>
            <w:fldChar w:fldCharType="end"/>
          </w:r>
        </w:p>
        <w:p w14:paraId="3BA8541B">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_Toc17524 </w:instrText>
          </w:r>
          <w:r>
            <w:rPr>
              <w:bCs/>
              <w:caps/>
            </w:rPr>
            <w:fldChar w:fldCharType="separate"/>
          </w:r>
          <w:r>
            <w:rPr>
              <w:rFonts w:hint="eastAsia"/>
            </w:rPr>
            <w:t>一、公司基本情况</w:t>
          </w:r>
          <w:r>
            <w:tab/>
          </w:r>
          <w:r>
            <w:fldChar w:fldCharType="begin"/>
          </w:r>
          <w:r>
            <w:instrText xml:space="preserve"> PAGEREF _Toc17524 \h </w:instrText>
          </w:r>
          <w:r>
            <w:fldChar w:fldCharType="separate"/>
          </w:r>
          <w:r>
            <w:t>4</w:t>
          </w:r>
          <w:r>
            <w:fldChar w:fldCharType="end"/>
          </w:r>
          <w:r>
            <w:rPr>
              <w:bCs/>
              <w:caps/>
            </w:rPr>
            <w:fldChar w:fldCharType="end"/>
          </w:r>
        </w:p>
        <w:p w14:paraId="703E45AA">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_Toc1242 </w:instrText>
          </w:r>
          <w:r>
            <w:rPr>
              <w:bCs/>
              <w:caps/>
            </w:rPr>
            <w:fldChar w:fldCharType="separate"/>
          </w:r>
          <w:r>
            <w:rPr>
              <w:rFonts w:hint="eastAsia"/>
            </w:rPr>
            <w:t>二、招标内容</w:t>
          </w:r>
          <w:r>
            <w:tab/>
          </w:r>
          <w:r>
            <w:fldChar w:fldCharType="begin"/>
          </w:r>
          <w:r>
            <w:instrText xml:space="preserve"> PAGEREF _Toc1242 \h </w:instrText>
          </w:r>
          <w:r>
            <w:fldChar w:fldCharType="separate"/>
          </w:r>
          <w:r>
            <w:t>5</w:t>
          </w:r>
          <w:r>
            <w:fldChar w:fldCharType="end"/>
          </w:r>
          <w:r>
            <w:rPr>
              <w:bCs/>
              <w:caps/>
            </w:rPr>
            <w:fldChar w:fldCharType="end"/>
          </w:r>
        </w:p>
        <w:p w14:paraId="7E0DA781">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_Toc24347 </w:instrText>
          </w:r>
          <w:r>
            <w:rPr>
              <w:bCs/>
              <w:caps/>
            </w:rPr>
            <w:fldChar w:fldCharType="separate"/>
          </w:r>
          <w:r>
            <w:rPr>
              <w:rFonts w:hint="eastAsia"/>
            </w:rPr>
            <w:t>三、</w:t>
          </w:r>
          <w:r>
            <w:rPr>
              <w:rFonts w:hint="eastAsia"/>
              <w:lang w:val="en-US" w:eastAsia="zh-CN"/>
            </w:rPr>
            <w:t>选聘</w:t>
          </w:r>
          <w:r>
            <w:rPr>
              <w:rFonts w:hint="eastAsia"/>
            </w:rPr>
            <w:t>方式及要求</w:t>
          </w:r>
          <w:r>
            <w:tab/>
          </w:r>
          <w:r>
            <w:fldChar w:fldCharType="begin"/>
          </w:r>
          <w:r>
            <w:instrText xml:space="preserve"> PAGEREF _Toc24347 \h </w:instrText>
          </w:r>
          <w:r>
            <w:fldChar w:fldCharType="separate"/>
          </w:r>
          <w:r>
            <w:t>5</w:t>
          </w:r>
          <w:r>
            <w:fldChar w:fldCharType="end"/>
          </w:r>
          <w:r>
            <w:rPr>
              <w:bCs/>
              <w:caps/>
            </w:rPr>
            <w:fldChar w:fldCharType="end"/>
          </w:r>
        </w:p>
        <w:p w14:paraId="2FD52E2D">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_Toc21294 </w:instrText>
          </w:r>
          <w:r>
            <w:rPr>
              <w:bCs/>
              <w:caps/>
            </w:rPr>
            <w:fldChar w:fldCharType="separate"/>
          </w:r>
          <w:r>
            <w:rPr>
              <w:rFonts w:hint="eastAsia"/>
              <w:lang w:val="en-US" w:eastAsia="zh-CN"/>
            </w:rPr>
            <w:t>四、招标文件的获取及信息发布</w:t>
          </w:r>
          <w:r>
            <w:tab/>
          </w:r>
          <w:r>
            <w:fldChar w:fldCharType="begin"/>
          </w:r>
          <w:r>
            <w:instrText xml:space="preserve"> PAGEREF _Toc21294 \h </w:instrText>
          </w:r>
          <w:r>
            <w:fldChar w:fldCharType="separate"/>
          </w:r>
          <w:r>
            <w:t>5</w:t>
          </w:r>
          <w:r>
            <w:fldChar w:fldCharType="end"/>
          </w:r>
          <w:r>
            <w:rPr>
              <w:bCs/>
              <w:caps/>
            </w:rPr>
            <w:fldChar w:fldCharType="end"/>
          </w:r>
        </w:p>
        <w:p w14:paraId="67F9DB28">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_Toc12003 </w:instrText>
          </w:r>
          <w:r>
            <w:rPr>
              <w:bCs/>
              <w:caps/>
            </w:rPr>
            <w:fldChar w:fldCharType="separate"/>
          </w:r>
          <w:r>
            <w:rPr>
              <w:rFonts w:hint="eastAsia"/>
              <w:lang w:val="en-US" w:eastAsia="zh-CN"/>
            </w:rPr>
            <w:t>五</w:t>
          </w:r>
          <w:r>
            <w:rPr>
              <w:rFonts w:hint="eastAsia"/>
            </w:rPr>
            <w:t>、投标书递交截止时间及地址</w:t>
          </w:r>
          <w:r>
            <w:tab/>
          </w:r>
          <w:r>
            <w:fldChar w:fldCharType="begin"/>
          </w:r>
          <w:r>
            <w:instrText xml:space="preserve"> PAGEREF _Toc12003 \h </w:instrText>
          </w:r>
          <w:r>
            <w:fldChar w:fldCharType="separate"/>
          </w:r>
          <w:r>
            <w:t>6</w:t>
          </w:r>
          <w:r>
            <w:fldChar w:fldCharType="end"/>
          </w:r>
          <w:r>
            <w:rPr>
              <w:bCs/>
              <w:caps/>
            </w:rPr>
            <w:fldChar w:fldCharType="end"/>
          </w:r>
        </w:p>
        <w:p w14:paraId="7E6F97E7">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_Toc29348 </w:instrText>
          </w:r>
          <w:r>
            <w:rPr>
              <w:bCs/>
              <w:caps/>
            </w:rPr>
            <w:fldChar w:fldCharType="separate"/>
          </w:r>
          <w:r>
            <w:rPr>
              <w:rFonts w:hint="eastAsia"/>
              <w:lang w:val="en-US" w:eastAsia="zh-CN"/>
            </w:rPr>
            <w:t>六</w:t>
          </w:r>
          <w:r>
            <w:rPr>
              <w:rFonts w:hint="eastAsia"/>
            </w:rPr>
            <w:t>、开标时间及地址</w:t>
          </w:r>
          <w:r>
            <w:tab/>
          </w:r>
          <w:r>
            <w:fldChar w:fldCharType="begin"/>
          </w:r>
          <w:r>
            <w:instrText xml:space="preserve"> PAGEREF _Toc29348 \h </w:instrText>
          </w:r>
          <w:r>
            <w:fldChar w:fldCharType="separate"/>
          </w:r>
          <w:r>
            <w:t>6</w:t>
          </w:r>
          <w:r>
            <w:fldChar w:fldCharType="end"/>
          </w:r>
          <w:r>
            <w:rPr>
              <w:bCs/>
              <w:caps/>
            </w:rPr>
            <w:fldChar w:fldCharType="end"/>
          </w:r>
        </w:p>
        <w:p w14:paraId="4F2348B2">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_Toc26291 </w:instrText>
          </w:r>
          <w:r>
            <w:rPr>
              <w:bCs/>
              <w:caps/>
            </w:rPr>
            <w:fldChar w:fldCharType="separate"/>
          </w:r>
          <w:r>
            <w:rPr>
              <w:rFonts w:hint="eastAsia"/>
              <w:lang w:val="en-US" w:eastAsia="zh-CN"/>
            </w:rPr>
            <w:t>七</w:t>
          </w:r>
          <w:r>
            <w:rPr>
              <w:rFonts w:hint="eastAsia"/>
            </w:rPr>
            <w:t>、招标单位及联系方式</w:t>
          </w:r>
          <w:r>
            <w:tab/>
          </w:r>
          <w:r>
            <w:fldChar w:fldCharType="begin"/>
          </w:r>
          <w:r>
            <w:instrText xml:space="preserve"> PAGEREF _Toc26291 \h </w:instrText>
          </w:r>
          <w:r>
            <w:fldChar w:fldCharType="separate"/>
          </w:r>
          <w:r>
            <w:t>6</w:t>
          </w:r>
          <w:r>
            <w:fldChar w:fldCharType="end"/>
          </w:r>
          <w:r>
            <w:rPr>
              <w:bCs/>
              <w:caps/>
            </w:rPr>
            <w:fldChar w:fldCharType="end"/>
          </w:r>
        </w:p>
        <w:p w14:paraId="47DE3C61">
          <w:pPr>
            <w:pStyle w:val="15"/>
            <w:keepNext w:val="0"/>
            <w:keepLines w:val="0"/>
            <w:pageBreakBefore w:val="0"/>
            <w:widowControl w:val="0"/>
            <w:tabs>
              <w:tab w:val="right" w:leader="dot" w:pos="8312"/>
              <w:tab w:val="clear" w:pos="830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_Toc16584 </w:instrText>
          </w:r>
          <w:r>
            <w:rPr>
              <w:bCs/>
              <w:caps/>
            </w:rPr>
            <w:fldChar w:fldCharType="separate"/>
          </w:r>
          <w:r>
            <w:rPr>
              <w:rFonts w:hint="eastAsia"/>
            </w:rPr>
            <w:t>第二部分</w:t>
          </w:r>
          <w:r>
            <w:t xml:space="preserve"> 投标人须知</w:t>
          </w:r>
          <w:r>
            <w:tab/>
          </w:r>
          <w:r>
            <w:fldChar w:fldCharType="begin"/>
          </w:r>
          <w:r>
            <w:instrText xml:space="preserve"> PAGEREF _Toc16584 \h </w:instrText>
          </w:r>
          <w:r>
            <w:fldChar w:fldCharType="separate"/>
          </w:r>
          <w:r>
            <w:t>7</w:t>
          </w:r>
          <w:r>
            <w:fldChar w:fldCharType="end"/>
          </w:r>
          <w:r>
            <w:rPr>
              <w:bCs/>
              <w:caps/>
            </w:rPr>
            <w:fldChar w:fldCharType="end"/>
          </w:r>
        </w:p>
        <w:p w14:paraId="51038B23">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_Toc29490 </w:instrText>
          </w:r>
          <w:r>
            <w:rPr>
              <w:bCs/>
              <w:caps/>
            </w:rPr>
            <w:fldChar w:fldCharType="separate"/>
          </w:r>
          <w:r>
            <w:rPr>
              <w:rFonts w:hint="eastAsia"/>
            </w:rPr>
            <w:t>投标人须知前附表</w:t>
          </w:r>
          <w:r>
            <w:tab/>
          </w:r>
          <w:r>
            <w:fldChar w:fldCharType="begin"/>
          </w:r>
          <w:r>
            <w:instrText xml:space="preserve"> PAGEREF _Toc29490 \h </w:instrText>
          </w:r>
          <w:r>
            <w:fldChar w:fldCharType="separate"/>
          </w:r>
          <w:r>
            <w:t>7</w:t>
          </w:r>
          <w:r>
            <w:fldChar w:fldCharType="end"/>
          </w:r>
          <w:r>
            <w:rPr>
              <w:bCs/>
              <w:caps/>
            </w:rPr>
            <w:fldChar w:fldCharType="end"/>
          </w:r>
        </w:p>
        <w:p w14:paraId="0EF773F9">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_Toc12197 </w:instrText>
          </w:r>
          <w:r>
            <w:rPr>
              <w:bCs/>
              <w:caps/>
            </w:rPr>
            <w:fldChar w:fldCharType="separate"/>
          </w:r>
          <w:r>
            <w:rPr>
              <w:rFonts w:hint="eastAsia"/>
            </w:rPr>
            <w:t>投标人须知</w:t>
          </w:r>
          <w:r>
            <w:tab/>
          </w:r>
          <w:r>
            <w:fldChar w:fldCharType="begin"/>
          </w:r>
          <w:r>
            <w:instrText xml:space="preserve"> PAGEREF _Toc12197 \h </w:instrText>
          </w:r>
          <w:r>
            <w:fldChar w:fldCharType="separate"/>
          </w:r>
          <w:r>
            <w:t>8</w:t>
          </w:r>
          <w:r>
            <w:fldChar w:fldCharType="end"/>
          </w:r>
          <w:r>
            <w:rPr>
              <w:bCs/>
              <w:caps/>
            </w:rPr>
            <w:fldChar w:fldCharType="end"/>
          </w:r>
        </w:p>
        <w:p w14:paraId="08FD9444">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_Toc32293 </w:instrText>
          </w:r>
          <w:r>
            <w:rPr>
              <w:bCs/>
              <w:caps/>
            </w:rPr>
            <w:fldChar w:fldCharType="separate"/>
          </w:r>
          <w:r>
            <w:rPr>
              <w:rFonts w:hint="eastAsia"/>
            </w:rPr>
            <w:t>一、总</w:t>
          </w:r>
          <w:r>
            <w:t xml:space="preserve"> 则</w:t>
          </w:r>
          <w:r>
            <w:tab/>
          </w:r>
          <w:r>
            <w:fldChar w:fldCharType="begin"/>
          </w:r>
          <w:r>
            <w:instrText xml:space="preserve"> PAGEREF _Toc32293 \h </w:instrText>
          </w:r>
          <w:r>
            <w:fldChar w:fldCharType="separate"/>
          </w:r>
          <w:r>
            <w:t>8</w:t>
          </w:r>
          <w:r>
            <w:fldChar w:fldCharType="end"/>
          </w:r>
          <w:r>
            <w:rPr>
              <w:bCs/>
              <w:caps/>
            </w:rPr>
            <w:fldChar w:fldCharType="end"/>
          </w:r>
        </w:p>
        <w:p w14:paraId="1F295DA2">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_Toc19022 </w:instrText>
          </w:r>
          <w:r>
            <w:rPr>
              <w:bCs/>
              <w:caps/>
            </w:rPr>
            <w:fldChar w:fldCharType="separate"/>
          </w:r>
          <w:r>
            <w:t>1</w:t>
          </w:r>
          <w:r>
            <w:rPr>
              <w:rFonts w:hint="eastAsia"/>
              <w:lang w:eastAsia="zh-CN"/>
            </w:rPr>
            <w:t>.</w:t>
          </w:r>
          <w:r>
            <w:rPr>
              <w:rFonts w:hint="eastAsia"/>
              <w:lang w:val="en-US" w:eastAsia="zh-CN"/>
            </w:rPr>
            <w:t xml:space="preserve"> </w:t>
          </w:r>
          <w:r>
            <w:t>使用范围</w:t>
          </w:r>
          <w:r>
            <w:tab/>
          </w:r>
          <w:r>
            <w:fldChar w:fldCharType="begin"/>
          </w:r>
          <w:r>
            <w:instrText xml:space="preserve"> PAGEREF _Toc19022 \h </w:instrText>
          </w:r>
          <w:r>
            <w:fldChar w:fldCharType="separate"/>
          </w:r>
          <w:r>
            <w:t>8</w:t>
          </w:r>
          <w:r>
            <w:fldChar w:fldCharType="end"/>
          </w:r>
          <w:r>
            <w:rPr>
              <w:bCs/>
              <w:caps/>
            </w:rPr>
            <w:fldChar w:fldCharType="end"/>
          </w:r>
        </w:p>
        <w:p w14:paraId="22D3D926">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_Toc13636 </w:instrText>
          </w:r>
          <w:r>
            <w:rPr>
              <w:bCs/>
              <w:caps/>
            </w:rPr>
            <w:fldChar w:fldCharType="separate"/>
          </w:r>
          <w:r>
            <w:t>2．定义</w:t>
          </w:r>
          <w:r>
            <w:tab/>
          </w:r>
          <w:r>
            <w:fldChar w:fldCharType="begin"/>
          </w:r>
          <w:r>
            <w:instrText xml:space="preserve"> PAGEREF _Toc13636 \h </w:instrText>
          </w:r>
          <w:r>
            <w:fldChar w:fldCharType="separate"/>
          </w:r>
          <w:r>
            <w:t>8</w:t>
          </w:r>
          <w:r>
            <w:fldChar w:fldCharType="end"/>
          </w:r>
          <w:r>
            <w:rPr>
              <w:bCs/>
              <w:caps/>
            </w:rPr>
            <w:fldChar w:fldCharType="end"/>
          </w:r>
        </w:p>
        <w:p w14:paraId="78F38617">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_Toc25283 </w:instrText>
          </w:r>
          <w:r>
            <w:rPr>
              <w:bCs/>
              <w:caps/>
            </w:rPr>
            <w:fldChar w:fldCharType="separate"/>
          </w:r>
          <w:r>
            <w:t>3．合格的投标人</w:t>
          </w:r>
          <w:r>
            <w:tab/>
          </w:r>
          <w:r>
            <w:fldChar w:fldCharType="begin"/>
          </w:r>
          <w:r>
            <w:instrText xml:space="preserve"> PAGEREF _Toc25283 \h </w:instrText>
          </w:r>
          <w:r>
            <w:fldChar w:fldCharType="separate"/>
          </w:r>
          <w:r>
            <w:t>8</w:t>
          </w:r>
          <w:r>
            <w:fldChar w:fldCharType="end"/>
          </w:r>
          <w:r>
            <w:rPr>
              <w:bCs/>
              <w:caps/>
            </w:rPr>
            <w:fldChar w:fldCharType="end"/>
          </w:r>
        </w:p>
        <w:p w14:paraId="2578C347">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_Toc14609 </w:instrText>
          </w:r>
          <w:r>
            <w:rPr>
              <w:bCs/>
              <w:caps/>
            </w:rPr>
            <w:fldChar w:fldCharType="separate"/>
          </w:r>
          <w:r>
            <w:t>4．费用</w:t>
          </w:r>
          <w:r>
            <w:tab/>
          </w:r>
          <w:r>
            <w:fldChar w:fldCharType="begin"/>
          </w:r>
          <w:r>
            <w:instrText xml:space="preserve"> PAGEREF _Toc14609 \h </w:instrText>
          </w:r>
          <w:r>
            <w:fldChar w:fldCharType="separate"/>
          </w:r>
          <w:r>
            <w:t>8</w:t>
          </w:r>
          <w:r>
            <w:fldChar w:fldCharType="end"/>
          </w:r>
          <w:r>
            <w:rPr>
              <w:bCs/>
              <w:caps/>
            </w:rPr>
            <w:fldChar w:fldCharType="end"/>
          </w:r>
        </w:p>
        <w:p w14:paraId="2C498129">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_Toc23541 </w:instrText>
          </w:r>
          <w:r>
            <w:rPr>
              <w:bCs/>
              <w:caps/>
            </w:rPr>
            <w:fldChar w:fldCharType="separate"/>
          </w:r>
          <w:r>
            <w:rPr>
              <w:rFonts w:hint="eastAsia"/>
            </w:rPr>
            <w:t>二、招标书说明</w:t>
          </w:r>
          <w:r>
            <w:tab/>
          </w:r>
          <w:r>
            <w:fldChar w:fldCharType="begin"/>
          </w:r>
          <w:r>
            <w:instrText xml:space="preserve"> PAGEREF _Toc23541 \h </w:instrText>
          </w:r>
          <w:r>
            <w:fldChar w:fldCharType="separate"/>
          </w:r>
          <w:r>
            <w:t>9</w:t>
          </w:r>
          <w:r>
            <w:fldChar w:fldCharType="end"/>
          </w:r>
          <w:r>
            <w:rPr>
              <w:bCs/>
              <w:caps/>
            </w:rPr>
            <w:fldChar w:fldCharType="end"/>
          </w:r>
        </w:p>
        <w:p w14:paraId="77BF037A">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_Toc31563 </w:instrText>
          </w:r>
          <w:r>
            <w:rPr>
              <w:bCs/>
              <w:caps/>
            </w:rPr>
            <w:fldChar w:fldCharType="separate"/>
          </w:r>
          <w:r>
            <w:t>5．招标书的构成</w:t>
          </w:r>
          <w:r>
            <w:tab/>
          </w:r>
          <w:r>
            <w:fldChar w:fldCharType="begin"/>
          </w:r>
          <w:r>
            <w:instrText xml:space="preserve"> PAGEREF _Toc31563 \h </w:instrText>
          </w:r>
          <w:r>
            <w:fldChar w:fldCharType="separate"/>
          </w:r>
          <w:r>
            <w:t>9</w:t>
          </w:r>
          <w:r>
            <w:fldChar w:fldCharType="end"/>
          </w:r>
          <w:r>
            <w:rPr>
              <w:bCs/>
              <w:caps/>
            </w:rPr>
            <w:fldChar w:fldCharType="end"/>
          </w:r>
        </w:p>
        <w:p w14:paraId="2A1ED3D7">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_Toc22774 </w:instrText>
          </w:r>
          <w:r>
            <w:rPr>
              <w:bCs/>
              <w:caps/>
            </w:rPr>
            <w:fldChar w:fldCharType="separate"/>
          </w:r>
          <w:r>
            <w:t>6．招标书的澄清</w:t>
          </w:r>
          <w:r>
            <w:tab/>
          </w:r>
          <w:r>
            <w:fldChar w:fldCharType="begin"/>
          </w:r>
          <w:r>
            <w:instrText xml:space="preserve"> PAGEREF _Toc22774 \h </w:instrText>
          </w:r>
          <w:r>
            <w:fldChar w:fldCharType="separate"/>
          </w:r>
          <w:r>
            <w:t>9</w:t>
          </w:r>
          <w:r>
            <w:fldChar w:fldCharType="end"/>
          </w:r>
          <w:r>
            <w:rPr>
              <w:bCs/>
              <w:caps/>
            </w:rPr>
            <w:fldChar w:fldCharType="end"/>
          </w:r>
        </w:p>
        <w:p w14:paraId="4BB5A0D2">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_Toc20958 </w:instrText>
          </w:r>
          <w:r>
            <w:rPr>
              <w:bCs/>
              <w:caps/>
            </w:rPr>
            <w:fldChar w:fldCharType="separate"/>
          </w:r>
          <w:r>
            <w:t>7．招标书的修改</w:t>
          </w:r>
          <w:r>
            <w:tab/>
          </w:r>
          <w:r>
            <w:fldChar w:fldCharType="begin"/>
          </w:r>
          <w:r>
            <w:instrText xml:space="preserve"> PAGEREF _Toc20958 \h </w:instrText>
          </w:r>
          <w:r>
            <w:fldChar w:fldCharType="separate"/>
          </w:r>
          <w:r>
            <w:t>9</w:t>
          </w:r>
          <w:r>
            <w:fldChar w:fldCharType="end"/>
          </w:r>
          <w:r>
            <w:rPr>
              <w:bCs/>
              <w:caps/>
            </w:rPr>
            <w:fldChar w:fldCharType="end"/>
          </w:r>
        </w:p>
        <w:p w14:paraId="434C2B32">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_Toc8855 </w:instrText>
          </w:r>
          <w:r>
            <w:rPr>
              <w:bCs/>
              <w:caps/>
            </w:rPr>
            <w:fldChar w:fldCharType="separate"/>
          </w:r>
          <w:r>
            <w:rPr>
              <w:rFonts w:hint="eastAsia"/>
            </w:rPr>
            <w:t>三、投标书的编写</w:t>
          </w:r>
          <w:r>
            <w:tab/>
          </w:r>
          <w:r>
            <w:fldChar w:fldCharType="begin"/>
          </w:r>
          <w:r>
            <w:instrText xml:space="preserve"> PAGEREF _Toc8855 \h </w:instrText>
          </w:r>
          <w:r>
            <w:fldChar w:fldCharType="separate"/>
          </w:r>
          <w:r>
            <w:t>10</w:t>
          </w:r>
          <w:r>
            <w:fldChar w:fldCharType="end"/>
          </w:r>
          <w:r>
            <w:rPr>
              <w:bCs/>
              <w:caps/>
            </w:rPr>
            <w:fldChar w:fldCharType="end"/>
          </w:r>
        </w:p>
        <w:p w14:paraId="0B78BB2A">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_Toc27277 </w:instrText>
          </w:r>
          <w:r>
            <w:rPr>
              <w:bCs/>
              <w:caps/>
            </w:rPr>
            <w:fldChar w:fldCharType="separate"/>
          </w:r>
          <w:r>
            <w:t>8．投标书语言</w:t>
          </w:r>
          <w:r>
            <w:tab/>
          </w:r>
          <w:r>
            <w:fldChar w:fldCharType="begin"/>
          </w:r>
          <w:r>
            <w:instrText xml:space="preserve"> PAGEREF _Toc27277 \h </w:instrText>
          </w:r>
          <w:r>
            <w:fldChar w:fldCharType="separate"/>
          </w:r>
          <w:r>
            <w:t>10</w:t>
          </w:r>
          <w:r>
            <w:fldChar w:fldCharType="end"/>
          </w:r>
          <w:r>
            <w:rPr>
              <w:bCs/>
              <w:caps/>
            </w:rPr>
            <w:fldChar w:fldCharType="end"/>
          </w:r>
        </w:p>
        <w:p w14:paraId="22ACF0B2">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_Toc24318 </w:instrText>
          </w:r>
          <w:r>
            <w:rPr>
              <w:bCs/>
              <w:caps/>
            </w:rPr>
            <w:fldChar w:fldCharType="separate"/>
          </w:r>
          <w:r>
            <w:t>9．计量单位</w:t>
          </w:r>
          <w:r>
            <w:tab/>
          </w:r>
          <w:r>
            <w:fldChar w:fldCharType="begin"/>
          </w:r>
          <w:r>
            <w:instrText xml:space="preserve"> PAGEREF _Toc24318 \h </w:instrText>
          </w:r>
          <w:r>
            <w:fldChar w:fldCharType="separate"/>
          </w:r>
          <w:r>
            <w:t>10</w:t>
          </w:r>
          <w:r>
            <w:fldChar w:fldCharType="end"/>
          </w:r>
          <w:r>
            <w:rPr>
              <w:bCs/>
              <w:caps/>
            </w:rPr>
            <w:fldChar w:fldCharType="end"/>
          </w:r>
        </w:p>
        <w:p w14:paraId="64C583B5">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_Toc27810 </w:instrText>
          </w:r>
          <w:r>
            <w:rPr>
              <w:bCs/>
              <w:caps/>
            </w:rPr>
            <w:fldChar w:fldCharType="separate"/>
          </w:r>
          <w:r>
            <w:t>10．投标书的组成</w:t>
          </w:r>
          <w:r>
            <w:tab/>
          </w:r>
          <w:r>
            <w:fldChar w:fldCharType="begin"/>
          </w:r>
          <w:r>
            <w:instrText xml:space="preserve"> PAGEREF _Toc27810 \h </w:instrText>
          </w:r>
          <w:r>
            <w:fldChar w:fldCharType="separate"/>
          </w:r>
          <w:r>
            <w:t>10</w:t>
          </w:r>
          <w:r>
            <w:fldChar w:fldCharType="end"/>
          </w:r>
          <w:r>
            <w:rPr>
              <w:bCs/>
              <w:caps/>
            </w:rPr>
            <w:fldChar w:fldCharType="end"/>
          </w:r>
        </w:p>
        <w:p w14:paraId="1925A6A2">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_Toc21251 </w:instrText>
          </w:r>
          <w:r>
            <w:rPr>
              <w:bCs/>
              <w:caps/>
            </w:rPr>
            <w:fldChar w:fldCharType="separate"/>
          </w:r>
          <w:r>
            <w:t>11．投标书格式</w:t>
          </w:r>
          <w:r>
            <w:tab/>
          </w:r>
          <w:r>
            <w:fldChar w:fldCharType="begin"/>
          </w:r>
          <w:r>
            <w:instrText xml:space="preserve"> PAGEREF _Toc21251 \h </w:instrText>
          </w:r>
          <w:r>
            <w:fldChar w:fldCharType="separate"/>
          </w:r>
          <w:r>
            <w:t>11</w:t>
          </w:r>
          <w:r>
            <w:fldChar w:fldCharType="end"/>
          </w:r>
          <w:r>
            <w:rPr>
              <w:bCs/>
              <w:caps/>
            </w:rPr>
            <w:fldChar w:fldCharType="end"/>
          </w:r>
        </w:p>
        <w:p w14:paraId="673A31F4">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_Toc16743 </w:instrText>
          </w:r>
          <w:r>
            <w:rPr>
              <w:bCs/>
              <w:caps/>
            </w:rPr>
            <w:fldChar w:fldCharType="separate"/>
          </w:r>
          <w:r>
            <w:t>12．投标报价</w:t>
          </w:r>
          <w:r>
            <w:tab/>
          </w:r>
          <w:r>
            <w:fldChar w:fldCharType="begin"/>
          </w:r>
          <w:r>
            <w:instrText xml:space="preserve"> PAGEREF _Toc16743 \h </w:instrText>
          </w:r>
          <w:r>
            <w:fldChar w:fldCharType="separate"/>
          </w:r>
          <w:r>
            <w:t>11</w:t>
          </w:r>
          <w:r>
            <w:fldChar w:fldCharType="end"/>
          </w:r>
          <w:r>
            <w:rPr>
              <w:bCs/>
              <w:caps/>
            </w:rPr>
            <w:fldChar w:fldCharType="end"/>
          </w:r>
        </w:p>
        <w:p w14:paraId="0D17EEFE">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_Toc25425 </w:instrText>
          </w:r>
          <w:r>
            <w:rPr>
              <w:bCs/>
              <w:caps/>
            </w:rPr>
            <w:fldChar w:fldCharType="separate"/>
          </w:r>
          <w:r>
            <w:t>13．投标有效期</w:t>
          </w:r>
          <w:r>
            <w:tab/>
          </w:r>
          <w:r>
            <w:fldChar w:fldCharType="begin"/>
          </w:r>
          <w:r>
            <w:instrText xml:space="preserve"> PAGEREF _Toc25425 \h </w:instrText>
          </w:r>
          <w:r>
            <w:fldChar w:fldCharType="separate"/>
          </w:r>
          <w:r>
            <w:t>11</w:t>
          </w:r>
          <w:r>
            <w:fldChar w:fldCharType="end"/>
          </w:r>
          <w:r>
            <w:rPr>
              <w:bCs/>
              <w:caps/>
            </w:rPr>
            <w:fldChar w:fldCharType="end"/>
          </w:r>
        </w:p>
        <w:p w14:paraId="0121548C">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_Toc321 </w:instrText>
          </w:r>
          <w:r>
            <w:rPr>
              <w:bCs/>
              <w:caps/>
            </w:rPr>
            <w:fldChar w:fldCharType="separate"/>
          </w:r>
          <w:r>
            <w:t>14．投标书的签署及规定</w:t>
          </w:r>
          <w:r>
            <w:tab/>
          </w:r>
          <w:r>
            <w:fldChar w:fldCharType="begin"/>
          </w:r>
          <w:r>
            <w:instrText xml:space="preserve"> PAGEREF _Toc321 \h </w:instrText>
          </w:r>
          <w:r>
            <w:fldChar w:fldCharType="separate"/>
          </w:r>
          <w:r>
            <w:t>11</w:t>
          </w:r>
          <w:r>
            <w:fldChar w:fldCharType="end"/>
          </w:r>
          <w:r>
            <w:rPr>
              <w:bCs/>
              <w:caps/>
            </w:rPr>
            <w:fldChar w:fldCharType="end"/>
          </w:r>
        </w:p>
        <w:p w14:paraId="11683B39">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_Toc31640 </w:instrText>
          </w:r>
          <w:r>
            <w:rPr>
              <w:bCs/>
              <w:caps/>
            </w:rPr>
            <w:fldChar w:fldCharType="separate"/>
          </w:r>
          <w:r>
            <w:rPr>
              <w:rFonts w:hint="eastAsia"/>
            </w:rPr>
            <w:t>四、投标书的递交</w:t>
          </w:r>
          <w:r>
            <w:tab/>
          </w:r>
          <w:r>
            <w:fldChar w:fldCharType="begin"/>
          </w:r>
          <w:r>
            <w:instrText xml:space="preserve"> PAGEREF _Toc31640 \h </w:instrText>
          </w:r>
          <w:r>
            <w:fldChar w:fldCharType="separate"/>
          </w:r>
          <w:r>
            <w:t>12</w:t>
          </w:r>
          <w:r>
            <w:fldChar w:fldCharType="end"/>
          </w:r>
          <w:r>
            <w:rPr>
              <w:bCs/>
              <w:caps/>
            </w:rPr>
            <w:fldChar w:fldCharType="end"/>
          </w:r>
        </w:p>
        <w:p w14:paraId="25BA9DD7">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_Toc12946 </w:instrText>
          </w:r>
          <w:r>
            <w:rPr>
              <w:bCs/>
              <w:caps/>
            </w:rPr>
            <w:fldChar w:fldCharType="separate"/>
          </w:r>
          <w:r>
            <w:t>15．投标书的数量、包装和标记</w:t>
          </w:r>
          <w:r>
            <w:tab/>
          </w:r>
          <w:r>
            <w:fldChar w:fldCharType="begin"/>
          </w:r>
          <w:r>
            <w:instrText xml:space="preserve"> PAGEREF _Toc12946 \h </w:instrText>
          </w:r>
          <w:r>
            <w:fldChar w:fldCharType="separate"/>
          </w:r>
          <w:r>
            <w:t>12</w:t>
          </w:r>
          <w:r>
            <w:fldChar w:fldCharType="end"/>
          </w:r>
          <w:r>
            <w:rPr>
              <w:bCs/>
              <w:caps/>
            </w:rPr>
            <w:fldChar w:fldCharType="end"/>
          </w:r>
        </w:p>
        <w:p w14:paraId="1293D43B">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_Toc29784 </w:instrText>
          </w:r>
          <w:r>
            <w:rPr>
              <w:bCs/>
              <w:caps/>
            </w:rPr>
            <w:fldChar w:fldCharType="separate"/>
          </w:r>
          <w:r>
            <w:t>16．投标书递交截止时间</w:t>
          </w:r>
          <w:r>
            <w:tab/>
          </w:r>
          <w:r>
            <w:fldChar w:fldCharType="begin"/>
          </w:r>
          <w:r>
            <w:instrText xml:space="preserve"> PAGEREF _Toc29784 \h </w:instrText>
          </w:r>
          <w:r>
            <w:fldChar w:fldCharType="separate"/>
          </w:r>
          <w:r>
            <w:t>12</w:t>
          </w:r>
          <w:r>
            <w:fldChar w:fldCharType="end"/>
          </w:r>
          <w:r>
            <w:rPr>
              <w:bCs/>
              <w:caps/>
            </w:rPr>
            <w:fldChar w:fldCharType="end"/>
          </w:r>
        </w:p>
        <w:p w14:paraId="45EFBBE8">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_Toc12504 </w:instrText>
          </w:r>
          <w:r>
            <w:rPr>
              <w:bCs/>
              <w:caps/>
            </w:rPr>
            <w:fldChar w:fldCharType="separate"/>
          </w:r>
          <w:r>
            <w:t>17．迟交的投标书</w:t>
          </w:r>
          <w:r>
            <w:tab/>
          </w:r>
          <w:r>
            <w:fldChar w:fldCharType="begin"/>
          </w:r>
          <w:r>
            <w:instrText xml:space="preserve"> PAGEREF _Toc12504 \h </w:instrText>
          </w:r>
          <w:r>
            <w:fldChar w:fldCharType="separate"/>
          </w:r>
          <w:r>
            <w:t>12</w:t>
          </w:r>
          <w:r>
            <w:fldChar w:fldCharType="end"/>
          </w:r>
          <w:r>
            <w:rPr>
              <w:bCs/>
              <w:caps/>
            </w:rPr>
            <w:fldChar w:fldCharType="end"/>
          </w:r>
        </w:p>
        <w:p w14:paraId="028F3F8B">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_Toc5138 </w:instrText>
          </w:r>
          <w:r>
            <w:rPr>
              <w:bCs/>
              <w:caps/>
            </w:rPr>
            <w:fldChar w:fldCharType="separate"/>
          </w:r>
          <w:r>
            <w:t>18．投标书的撤销</w:t>
          </w:r>
          <w:r>
            <w:tab/>
          </w:r>
          <w:r>
            <w:fldChar w:fldCharType="begin"/>
          </w:r>
          <w:r>
            <w:instrText xml:space="preserve"> PAGEREF _Toc5138 \h </w:instrText>
          </w:r>
          <w:r>
            <w:fldChar w:fldCharType="separate"/>
          </w:r>
          <w:r>
            <w:t>12</w:t>
          </w:r>
          <w:r>
            <w:fldChar w:fldCharType="end"/>
          </w:r>
          <w:r>
            <w:rPr>
              <w:bCs/>
              <w:caps/>
            </w:rPr>
            <w:fldChar w:fldCharType="end"/>
          </w:r>
        </w:p>
        <w:p w14:paraId="02F2CE89">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_Toc1445 </w:instrText>
          </w:r>
          <w:r>
            <w:rPr>
              <w:bCs/>
              <w:caps/>
            </w:rPr>
            <w:fldChar w:fldCharType="separate"/>
          </w:r>
          <w:r>
            <w:rPr>
              <w:rFonts w:hint="eastAsia"/>
            </w:rPr>
            <w:t>五、开标及评标</w:t>
          </w:r>
          <w:r>
            <w:tab/>
          </w:r>
          <w:r>
            <w:fldChar w:fldCharType="begin"/>
          </w:r>
          <w:r>
            <w:instrText xml:space="preserve"> PAGEREF _Toc1445 \h </w:instrText>
          </w:r>
          <w:r>
            <w:fldChar w:fldCharType="separate"/>
          </w:r>
          <w:r>
            <w:t>13</w:t>
          </w:r>
          <w:r>
            <w:fldChar w:fldCharType="end"/>
          </w:r>
          <w:r>
            <w:rPr>
              <w:bCs/>
              <w:caps/>
            </w:rPr>
            <w:fldChar w:fldCharType="end"/>
          </w:r>
        </w:p>
        <w:p w14:paraId="192ACCA0">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_Toc28378 </w:instrText>
          </w:r>
          <w:r>
            <w:rPr>
              <w:bCs/>
              <w:caps/>
            </w:rPr>
            <w:fldChar w:fldCharType="separate"/>
          </w:r>
          <w:r>
            <w:t>19．开标</w:t>
          </w:r>
          <w:r>
            <w:tab/>
          </w:r>
          <w:r>
            <w:fldChar w:fldCharType="begin"/>
          </w:r>
          <w:r>
            <w:instrText xml:space="preserve"> PAGEREF _Toc28378 \h </w:instrText>
          </w:r>
          <w:r>
            <w:fldChar w:fldCharType="separate"/>
          </w:r>
          <w:r>
            <w:t>13</w:t>
          </w:r>
          <w:r>
            <w:fldChar w:fldCharType="end"/>
          </w:r>
          <w:r>
            <w:rPr>
              <w:bCs/>
              <w:caps/>
            </w:rPr>
            <w:fldChar w:fldCharType="end"/>
          </w:r>
        </w:p>
        <w:p w14:paraId="273DB8A7">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_Toc2652 </w:instrText>
          </w:r>
          <w:r>
            <w:rPr>
              <w:bCs/>
              <w:caps/>
            </w:rPr>
            <w:fldChar w:fldCharType="separate"/>
          </w:r>
          <w:r>
            <w:rPr>
              <w:highlight w:val="none"/>
            </w:rPr>
            <w:t>20．组建评标委员会</w:t>
          </w:r>
          <w:r>
            <w:tab/>
          </w:r>
          <w:r>
            <w:fldChar w:fldCharType="begin"/>
          </w:r>
          <w:r>
            <w:instrText xml:space="preserve"> PAGEREF _Toc2652 \h </w:instrText>
          </w:r>
          <w:r>
            <w:fldChar w:fldCharType="separate"/>
          </w:r>
          <w:r>
            <w:t>13</w:t>
          </w:r>
          <w:r>
            <w:fldChar w:fldCharType="end"/>
          </w:r>
          <w:r>
            <w:rPr>
              <w:bCs/>
              <w:caps/>
            </w:rPr>
            <w:fldChar w:fldCharType="end"/>
          </w:r>
        </w:p>
        <w:p w14:paraId="2B01FAC7">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_Toc16291 </w:instrText>
          </w:r>
          <w:r>
            <w:rPr>
              <w:bCs/>
              <w:caps/>
            </w:rPr>
            <w:fldChar w:fldCharType="separate"/>
          </w:r>
          <w:r>
            <w:t>21．对投标书的审查和响应性的确定</w:t>
          </w:r>
          <w:r>
            <w:tab/>
          </w:r>
          <w:r>
            <w:fldChar w:fldCharType="begin"/>
          </w:r>
          <w:r>
            <w:instrText xml:space="preserve"> PAGEREF _Toc16291 \h </w:instrText>
          </w:r>
          <w:r>
            <w:fldChar w:fldCharType="separate"/>
          </w:r>
          <w:r>
            <w:t>13</w:t>
          </w:r>
          <w:r>
            <w:fldChar w:fldCharType="end"/>
          </w:r>
          <w:r>
            <w:rPr>
              <w:bCs/>
              <w:caps/>
            </w:rPr>
            <w:fldChar w:fldCharType="end"/>
          </w:r>
        </w:p>
        <w:p w14:paraId="44670A16">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_Toc8411 </w:instrText>
          </w:r>
          <w:r>
            <w:rPr>
              <w:bCs/>
              <w:caps/>
            </w:rPr>
            <w:fldChar w:fldCharType="separate"/>
          </w:r>
          <w:r>
            <w:t>22．投标书的评审和比较</w:t>
          </w:r>
          <w:r>
            <w:tab/>
          </w:r>
          <w:r>
            <w:fldChar w:fldCharType="begin"/>
          </w:r>
          <w:r>
            <w:instrText xml:space="preserve"> PAGEREF _Toc8411 \h </w:instrText>
          </w:r>
          <w:r>
            <w:fldChar w:fldCharType="separate"/>
          </w:r>
          <w:r>
            <w:t>14</w:t>
          </w:r>
          <w:r>
            <w:fldChar w:fldCharType="end"/>
          </w:r>
          <w:r>
            <w:rPr>
              <w:bCs/>
              <w:caps/>
            </w:rPr>
            <w:fldChar w:fldCharType="end"/>
          </w:r>
        </w:p>
        <w:p w14:paraId="204DDF48">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_Toc28857 </w:instrText>
          </w:r>
          <w:r>
            <w:rPr>
              <w:bCs/>
              <w:caps/>
            </w:rPr>
            <w:fldChar w:fldCharType="separate"/>
          </w:r>
          <w:r>
            <w:t>23．评标原则及方法</w:t>
          </w:r>
          <w:r>
            <w:tab/>
          </w:r>
          <w:r>
            <w:fldChar w:fldCharType="begin"/>
          </w:r>
          <w:r>
            <w:instrText xml:space="preserve"> PAGEREF _Toc28857 \h </w:instrText>
          </w:r>
          <w:r>
            <w:fldChar w:fldCharType="separate"/>
          </w:r>
          <w:r>
            <w:t>14</w:t>
          </w:r>
          <w:r>
            <w:fldChar w:fldCharType="end"/>
          </w:r>
          <w:r>
            <w:rPr>
              <w:bCs/>
              <w:caps/>
            </w:rPr>
            <w:fldChar w:fldCharType="end"/>
          </w:r>
        </w:p>
        <w:p w14:paraId="16D0C25E">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_Toc638 </w:instrText>
          </w:r>
          <w:r>
            <w:rPr>
              <w:bCs/>
              <w:caps/>
            </w:rPr>
            <w:fldChar w:fldCharType="separate"/>
          </w:r>
          <w:r>
            <w:t>24．保密</w:t>
          </w:r>
          <w:r>
            <w:tab/>
          </w:r>
          <w:r>
            <w:fldChar w:fldCharType="begin"/>
          </w:r>
          <w:r>
            <w:instrText xml:space="preserve"> PAGEREF _Toc638 \h </w:instrText>
          </w:r>
          <w:r>
            <w:fldChar w:fldCharType="separate"/>
          </w:r>
          <w:r>
            <w:t>14</w:t>
          </w:r>
          <w:r>
            <w:fldChar w:fldCharType="end"/>
          </w:r>
          <w:r>
            <w:rPr>
              <w:bCs/>
              <w:caps/>
            </w:rPr>
            <w:fldChar w:fldCharType="end"/>
          </w:r>
        </w:p>
        <w:p w14:paraId="3ACBC383">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_Toc30022 </w:instrText>
          </w:r>
          <w:r>
            <w:rPr>
              <w:bCs/>
              <w:caps/>
            </w:rPr>
            <w:fldChar w:fldCharType="separate"/>
          </w:r>
          <w:r>
            <w:rPr>
              <w:rFonts w:hint="eastAsia"/>
            </w:rPr>
            <w:t>六、授予合同</w:t>
          </w:r>
          <w:r>
            <w:tab/>
          </w:r>
          <w:r>
            <w:fldChar w:fldCharType="begin"/>
          </w:r>
          <w:r>
            <w:instrText xml:space="preserve"> PAGEREF _Toc30022 \h </w:instrText>
          </w:r>
          <w:r>
            <w:fldChar w:fldCharType="separate"/>
          </w:r>
          <w:r>
            <w:t>15</w:t>
          </w:r>
          <w:r>
            <w:fldChar w:fldCharType="end"/>
          </w:r>
          <w:r>
            <w:rPr>
              <w:bCs/>
              <w:caps/>
            </w:rPr>
            <w:fldChar w:fldCharType="end"/>
          </w:r>
        </w:p>
        <w:p w14:paraId="3706EAF9">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_Toc24599 </w:instrText>
          </w:r>
          <w:r>
            <w:rPr>
              <w:bCs/>
              <w:caps/>
            </w:rPr>
            <w:fldChar w:fldCharType="separate"/>
          </w:r>
          <w:r>
            <w:t>25．中标</w:t>
          </w:r>
          <w:r>
            <w:tab/>
          </w:r>
          <w:r>
            <w:fldChar w:fldCharType="begin"/>
          </w:r>
          <w:r>
            <w:instrText xml:space="preserve"> PAGEREF _Toc24599 \h </w:instrText>
          </w:r>
          <w:r>
            <w:fldChar w:fldCharType="separate"/>
          </w:r>
          <w:r>
            <w:t>15</w:t>
          </w:r>
          <w:r>
            <w:fldChar w:fldCharType="end"/>
          </w:r>
          <w:r>
            <w:rPr>
              <w:bCs/>
              <w:caps/>
            </w:rPr>
            <w:fldChar w:fldCharType="end"/>
          </w:r>
        </w:p>
        <w:p w14:paraId="40E9929F">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_Toc25564 </w:instrText>
          </w:r>
          <w:r>
            <w:rPr>
              <w:bCs/>
              <w:caps/>
            </w:rPr>
            <w:fldChar w:fldCharType="separate"/>
          </w:r>
          <w:r>
            <w:t>26．接受和拒绝任何或所有投标的权力</w:t>
          </w:r>
          <w:r>
            <w:tab/>
          </w:r>
          <w:r>
            <w:fldChar w:fldCharType="begin"/>
          </w:r>
          <w:r>
            <w:instrText xml:space="preserve"> PAGEREF _Toc25564 \h </w:instrText>
          </w:r>
          <w:r>
            <w:fldChar w:fldCharType="separate"/>
          </w:r>
          <w:r>
            <w:t>15</w:t>
          </w:r>
          <w:r>
            <w:fldChar w:fldCharType="end"/>
          </w:r>
          <w:r>
            <w:rPr>
              <w:bCs/>
              <w:caps/>
            </w:rPr>
            <w:fldChar w:fldCharType="end"/>
          </w:r>
        </w:p>
        <w:p w14:paraId="4CD9AEDA">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_Toc8914 </w:instrText>
          </w:r>
          <w:r>
            <w:rPr>
              <w:bCs/>
              <w:caps/>
            </w:rPr>
            <w:fldChar w:fldCharType="separate"/>
          </w:r>
          <w:r>
            <w:t>27．中标通知</w:t>
          </w:r>
          <w:r>
            <w:tab/>
          </w:r>
          <w:r>
            <w:fldChar w:fldCharType="begin"/>
          </w:r>
          <w:r>
            <w:instrText xml:space="preserve"> PAGEREF _Toc8914 \h </w:instrText>
          </w:r>
          <w:r>
            <w:fldChar w:fldCharType="separate"/>
          </w:r>
          <w:r>
            <w:t>15</w:t>
          </w:r>
          <w:r>
            <w:fldChar w:fldCharType="end"/>
          </w:r>
          <w:r>
            <w:rPr>
              <w:bCs/>
              <w:caps/>
            </w:rPr>
            <w:fldChar w:fldCharType="end"/>
          </w:r>
        </w:p>
        <w:p w14:paraId="74242D49">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_Toc592 </w:instrText>
          </w:r>
          <w:r>
            <w:rPr>
              <w:bCs/>
              <w:caps/>
            </w:rPr>
            <w:fldChar w:fldCharType="separate"/>
          </w:r>
          <w:r>
            <w:t>28．服务费</w:t>
          </w:r>
          <w:r>
            <w:tab/>
          </w:r>
          <w:r>
            <w:fldChar w:fldCharType="begin"/>
          </w:r>
          <w:r>
            <w:instrText xml:space="preserve"> PAGEREF _Toc592 \h </w:instrText>
          </w:r>
          <w:r>
            <w:fldChar w:fldCharType="separate"/>
          </w:r>
          <w:r>
            <w:t>15</w:t>
          </w:r>
          <w:r>
            <w:fldChar w:fldCharType="end"/>
          </w:r>
          <w:r>
            <w:rPr>
              <w:bCs/>
              <w:caps/>
            </w:rPr>
            <w:fldChar w:fldCharType="end"/>
          </w:r>
        </w:p>
        <w:p w14:paraId="215278C7">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_Toc23845 </w:instrText>
          </w:r>
          <w:r>
            <w:rPr>
              <w:bCs/>
              <w:caps/>
            </w:rPr>
            <w:fldChar w:fldCharType="separate"/>
          </w:r>
          <w:r>
            <w:rPr>
              <w:rFonts w:hint="eastAsia"/>
              <w:highlight w:val="none"/>
              <w:lang w:val="en-US" w:eastAsia="zh-CN"/>
            </w:rPr>
            <w:t>七、合规专项承诺要求</w:t>
          </w:r>
          <w:r>
            <w:tab/>
          </w:r>
          <w:r>
            <w:fldChar w:fldCharType="begin"/>
          </w:r>
          <w:r>
            <w:instrText xml:space="preserve"> PAGEREF _Toc23845 \h </w:instrText>
          </w:r>
          <w:r>
            <w:fldChar w:fldCharType="separate"/>
          </w:r>
          <w:r>
            <w:t>16</w:t>
          </w:r>
          <w:r>
            <w:fldChar w:fldCharType="end"/>
          </w:r>
          <w:r>
            <w:rPr>
              <w:bCs/>
              <w:caps/>
            </w:rPr>
            <w:fldChar w:fldCharType="end"/>
          </w:r>
        </w:p>
        <w:p w14:paraId="7FF17C14">
          <w:pPr>
            <w:pStyle w:val="15"/>
            <w:keepNext w:val="0"/>
            <w:keepLines w:val="0"/>
            <w:pageBreakBefore w:val="0"/>
            <w:widowControl w:val="0"/>
            <w:tabs>
              <w:tab w:val="right" w:leader="dot" w:pos="8312"/>
              <w:tab w:val="clear" w:pos="830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_Toc13676 </w:instrText>
          </w:r>
          <w:r>
            <w:rPr>
              <w:bCs/>
              <w:caps/>
            </w:rPr>
            <w:fldChar w:fldCharType="separate"/>
          </w:r>
          <w:r>
            <w:rPr>
              <w:rFonts w:hint="eastAsia"/>
            </w:rPr>
            <w:t>第三部分 服务要求及内容</w:t>
          </w:r>
          <w:r>
            <w:tab/>
          </w:r>
          <w:r>
            <w:fldChar w:fldCharType="begin"/>
          </w:r>
          <w:r>
            <w:instrText xml:space="preserve"> PAGEREF _Toc13676 \h </w:instrText>
          </w:r>
          <w:r>
            <w:fldChar w:fldCharType="separate"/>
          </w:r>
          <w:r>
            <w:t>17</w:t>
          </w:r>
          <w:r>
            <w:fldChar w:fldCharType="end"/>
          </w:r>
          <w:r>
            <w:rPr>
              <w:bCs/>
              <w:caps/>
            </w:rPr>
            <w:fldChar w:fldCharType="end"/>
          </w:r>
        </w:p>
        <w:p w14:paraId="32FD0F41">
          <w:pPr>
            <w:pStyle w:val="15"/>
            <w:keepNext w:val="0"/>
            <w:keepLines w:val="0"/>
            <w:pageBreakBefore w:val="0"/>
            <w:widowControl w:val="0"/>
            <w:tabs>
              <w:tab w:val="right" w:leader="dot" w:pos="8312"/>
              <w:tab w:val="clear" w:pos="830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_Toc13361 </w:instrText>
          </w:r>
          <w:r>
            <w:rPr>
              <w:bCs/>
              <w:caps/>
            </w:rPr>
            <w:fldChar w:fldCharType="separate"/>
          </w:r>
          <w:r>
            <w:rPr>
              <w:rFonts w:hint="eastAsia"/>
            </w:rPr>
            <w:t>第四部分</w:t>
          </w:r>
          <w:r>
            <w:t xml:space="preserve"> </w:t>
          </w:r>
          <w:r>
            <w:rPr>
              <w:rFonts w:hint="eastAsia"/>
            </w:rPr>
            <w:t>投标书格式</w:t>
          </w:r>
          <w:r>
            <w:tab/>
          </w:r>
          <w:r>
            <w:fldChar w:fldCharType="begin"/>
          </w:r>
          <w:r>
            <w:instrText xml:space="preserve"> PAGEREF _Toc13361 \h </w:instrText>
          </w:r>
          <w:r>
            <w:fldChar w:fldCharType="separate"/>
          </w:r>
          <w:r>
            <w:t>18</w:t>
          </w:r>
          <w:r>
            <w:fldChar w:fldCharType="end"/>
          </w:r>
          <w:r>
            <w:rPr>
              <w:bCs/>
              <w:caps/>
            </w:rPr>
            <w:fldChar w:fldCharType="end"/>
          </w:r>
        </w:p>
        <w:p w14:paraId="0CD9F390">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_Toc6983 </w:instrText>
          </w:r>
          <w:r>
            <w:rPr>
              <w:bCs/>
              <w:caps/>
            </w:rPr>
            <w:fldChar w:fldCharType="separate"/>
          </w:r>
          <w:r>
            <w:rPr>
              <w:rFonts w:hint="eastAsia"/>
            </w:rPr>
            <w:t>附件</w:t>
          </w:r>
          <w:r>
            <w:t>1投标申请函</w:t>
          </w:r>
          <w:r>
            <w:tab/>
          </w:r>
          <w:r>
            <w:fldChar w:fldCharType="begin"/>
          </w:r>
          <w:r>
            <w:instrText xml:space="preserve"> PAGEREF _Toc6983 \h </w:instrText>
          </w:r>
          <w:r>
            <w:fldChar w:fldCharType="separate"/>
          </w:r>
          <w:r>
            <w:t>18</w:t>
          </w:r>
          <w:r>
            <w:fldChar w:fldCharType="end"/>
          </w:r>
          <w:r>
            <w:rPr>
              <w:bCs/>
              <w:caps/>
            </w:rPr>
            <w:fldChar w:fldCharType="end"/>
          </w:r>
        </w:p>
        <w:p w14:paraId="05845DEB">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_Toc3395 </w:instrText>
          </w:r>
          <w:r>
            <w:rPr>
              <w:bCs/>
              <w:caps/>
            </w:rPr>
            <w:fldChar w:fldCharType="separate"/>
          </w:r>
          <w:r>
            <w:rPr>
              <w:rFonts w:hint="eastAsia"/>
            </w:rPr>
            <w:t>附件</w:t>
          </w:r>
          <w:r>
            <w:t>2 投标一览表</w:t>
          </w:r>
          <w:r>
            <w:tab/>
          </w:r>
          <w:r>
            <w:fldChar w:fldCharType="begin"/>
          </w:r>
          <w:r>
            <w:instrText xml:space="preserve"> PAGEREF _Toc3395 \h </w:instrText>
          </w:r>
          <w:r>
            <w:fldChar w:fldCharType="separate"/>
          </w:r>
          <w:r>
            <w:t>19</w:t>
          </w:r>
          <w:r>
            <w:fldChar w:fldCharType="end"/>
          </w:r>
          <w:r>
            <w:rPr>
              <w:bCs/>
              <w:caps/>
            </w:rPr>
            <w:fldChar w:fldCharType="end"/>
          </w:r>
        </w:p>
        <w:p w14:paraId="08D82A59">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_Toc26716 </w:instrText>
          </w:r>
          <w:r>
            <w:rPr>
              <w:bCs/>
              <w:caps/>
            </w:rPr>
            <w:fldChar w:fldCharType="separate"/>
          </w:r>
          <w:r>
            <w:rPr>
              <w:rFonts w:hint="eastAsia"/>
              <w:highlight w:val="none"/>
            </w:rPr>
            <w:t>附件</w:t>
          </w:r>
          <w:r>
            <w:rPr>
              <w:rFonts w:hint="eastAsia"/>
              <w:highlight w:val="none"/>
              <w:lang w:val="en-US" w:eastAsia="zh-CN"/>
            </w:rPr>
            <w:t xml:space="preserve">3 </w:t>
          </w:r>
          <w:r>
            <w:rPr>
              <w:rFonts w:hint="eastAsia"/>
              <w:highlight w:val="none"/>
            </w:rPr>
            <w:t>合规承诺书</w:t>
          </w:r>
          <w:r>
            <w:tab/>
          </w:r>
          <w:r>
            <w:fldChar w:fldCharType="begin"/>
          </w:r>
          <w:r>
            <w:instrText xml:space="preserve"> PAGEREF _Toc26716 \h </w:instrText>
          </w:r>
          <w:r>
            <w:fldChar w:fldCharType="separate"/>
          </w:r>
          <w:r>
            <w:t>20</w:t>
          </w:r>
          <w:r>
            <w:fldChar w:fldCharType="end"/>
          </w:r>
          <w:r>
            <w:rPr>
              <w:bCs/>
              <w:caps/>
            </w:rPr>
            <w:fldChar w:fldCharType="end"/>
          </w:r>
        </w:p>
        <w:p w14:paraId="628C289E">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_Toc28408 </w:instrText>
          </w:r>
          <w:r>
            <w:rPr>
              <w:bCs/>
              <w:caps/>
            </w:rPr>
            <w:fldChar w:fldCharType="separate"/>
          </w:r>
          <w:r>
            <w:rPr>
              <w:rFonts w:hint="eastAsia"/>
            </w:rPr>
            <w:t>附件</w:t>
          </w:r>
          <w:r>
            <w:rPr>
              <w:rFonts w:hint="eastAsia"/>
              <w:lang w:val="en-US" w:eastAsia="zh-CN"/>
            </w:rPr>
            <w:t>4</w:t>
          </w:r>
          <w:r>
            <w:t xml:space="preserve"> 资格证明文件</w:t>
          </w:r>
          <w:r>
            <w:tab/>
          </w:r>
          <w:r>
            <w:fldChar w:fldCharType="begin"/>
          </w:r>
          <w:r>
            <w:instrText xml:space="preserve"> PAGEREF _Toc28408 \h </w:instrText>
          </w:r>
          <w:r>
            <w:fldChar w:fldCharType="separate"/>
          </w:r>
          <w:r>
            <w:t>23</w:t>
          </w:r>
          <w:r>
            <w:fldChar w:fldCharType="end"/>
          </w:r>
          <w:r>
            <w:rPr>
              <w:bCs/>
              <w:caps/>
            </w:rPr>
            <w:fldChar w:fldCharType="end"/>
          </w:r>
        </w:p>
        <w:p w14:paraId="6BF597D8">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_Toc22496 </w:instrText>
          </w:r>
          <w:r>
            <w:rPr>
              <w:bCs/>
              <w:caps/>
            </w:rPr>
            <w:fldChar w:fldCharType="separate"/>
          </w:r>
          <w:r>
            <w:rPr>
              <w:rFonts w:hint="eastAsia"/>
            </w:rPr>
            <w:t>附件</w:t>
          </w:r>
          <w:r>
            <w:rPr>
              <w:rFonts w:hint="eastAsia"/>
              <w:lang w:val="en-US" w:eastAsia="zh-CN"/>
            </w:rPr>
            <w:t>4</w:t>
          </w:r>
          <w:r>
            <w:t xml:space="preserve">.1 </w:t>
          </w:r>
          <w:r>
            <w:rPr>
              <w:rFonts w:hint="eastAsia"/>
              <w:lang w:eastAsia="zh-CN"/>
            </w:rPr>
            <w:t>执行事务合伙人/单位负责人</w:t>
          </w:r>
          <w:r>
            <w:t>授权书</w:t>
          </w:r>
          <w:r>
            <w:tab/>
          </w:r>
          <w:r>
            <w:fldChar w:fldCharType="begin"/>
          </w:r>
          <w:r>
            <w:instrText xml:space="preserve"> PAGEREF _Toc22496 \h </w:instrText>
          </w:r>
          <w:r>
            <w:fldChar w:fldCharType="separate"/>
          </w:r>
          <w:r>
            <w:t>23</w:t>
          </w:r>
          <w:r>
            <w:fldChar w:fldCharType="end"/>
          </w:r>
          <w:r>
            <w:rPr>
              <w:bCs/>
              <w:caps/>
            </w:rPr>
            <w:fldChar w:fldCharType="end"/>
          </w:r>
        </w:p>
        <w:p w14:paraId="14122D23">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_Toc6561 </w:instrText>
          </w:r>
          <w:r>
            <w:rPr>
              <w:bCs/>
              <w:caps/>
            </w:rPr>
            <w:fldChar w:fldCharType="separate"/>
          </w:r>
          <w:r>
            <w:rPr>
              <w:rFonts w:hint="eastAsia"/>
            </w:rPr>
            <w:t>附件</w:t>
          </w:r>
          <w:r>
            <w:rPr>
              <w:rFonts w:hint="eastAsia"/>
              <w:lang w:val="en-US" w:eastAsia="zh-CN"/>
            </w:rPr>
            <w:t>4</w:t>
          </w:r>
          <w:r>
            <w:t>.</w:t>
          </w:r>
          <w:r>
            <w:rPr>
              <w:rFonts w:hint="eastAsia"/>
              <w:lang w:val="en-US" w:eastAsia="zh-CN"/>
            </w:rPr>
            <w:t xml:space="preserve">2 </w:t>
          </w:r>
          <w:r>
            <w:rPr>
              <w:rFonts w:hint="eastAsia"/>
            </w:rPr>
            <w:t>营业执照</w:t>
          </w:r>
          <w:r>
            <w:rPr>
              <w:rFonts w:hint="eastAsia"/>
              <w:lang w:eastAsia="zh-CN"/>
            </w:rPr>
            <w:t>、</w:t>
          </w:r>
          <w:r>
            <w:t>会计师事务所执业资格证书、证券期货相关业务资格证明文件</w:t>
          </w:r>
          <w:r>
            <w:tab/>
          </w:r>
          <w:r>
            <w:fldChar w:fldCharType="begin"/>
          </w:r>
          <w:r>
            <w:instrText xml:space="preserve"> PAGEREF _Toc6561 \h </w:instrText>
          </w:r>
          <w:r>
            <w:fldChar w:fldCharType="separate"/>
          </w:r>
          <w:r>
            <w:t>24</w:t>
          </w:r>
          <w:r>
            <w:fldChar w:fldCharType="end"/>
          </w:r>
          <w:r>
            <w:rPr>
              <w:bCs/>
              <w:caps/>
            </w:rPr>
            <w:fldChar w:fldCharType="end"/>
          </w:r>
        </w:p>
        <w:p w14:paraId="131B4F6B">
          <w:pPr>
            <w:pStyle w:val="9"/>
            <w:keepNext w:val="0"/>
            <w:keepLines w:val="0"/>
            <w:pageBreakBefore w:val="0"/>
            <w:widowControl w:val="0"/>
            <w:tabs>
              <w:tab w:val="right" w:leader="dot" w:pos="831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_Toc18145 </w:instrText>
          </w:r>
          <w:r>
            <w:rPr>
              <w:bCs/>
              <w:caps/>
            </w:rPr>
            <w:fldChar w:fldCharType="separate"/>
          </w:r>
          <w:r>
            <w:rPr>
              <w:rFonts w:hint="eastAsia"/>
            </w:rPr>
            <w:t>附件</w:t>
          </w:r>
          <w:r>
            <w:rPr>
              <w:rFonts w:hint="eastAsia"/>
              <w:lang w:val="en-US" w:eastAsia="zh-CN"/>
            </w:rPr>
            <w:t>4</w:t>
          </w:r>
          <w:r>
            <w:t>.</w:t>
          </w:r>
          <w:r>
            <w:rPr>
              <w:rFonts w:hint="eastAsia"/>
              <w:lang w:val="en-US" w:eastAsia="zh-CN"/>
            </w:rPr>
            <w:t xml:space="preserve">3 </w:t>
          </w:r>
          <w:r>
            <w:rPr>
              <w:rFonts w:hint="eastAsia"/>
            </w:rPr>
            <w:t>最近三年内受到的监管部门处罚情况（提供中注协网站查询截图</w:t>
          </w:r>
          <w:r>
            <w:t>）</w:t>
          </w:r>
          <w:r>
            <w:tab/>
          </w:r>
          <w:r>
            <w:fldChar w:fldCharType="begin"/>
          </w:r>
          <w:r>
            <w:instrText xml:space="preserve"> PAGEREF _Toc18145 \h </w:instrText>
          </w:r>
          <w:r>
            <w:fldChar w:fldCharType="separate"/>
          </w:r>
          <w:r>
            <w:t>25</w:t>
          </w:r>
          <w:r>
            <w:fldChar w:fldCharType="end"/>
          </w:r>
          <w:r>
            <w:rPr>
              <w:bCs/>
              <w:caps/>
            </w:rPr>
            <w:fldChar w:fldCharType="end"/>
          </w:r>
        </w:p>
        <w:p w14:paraId="2ABF767B">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_Toc28612 </w:instrText>
          </w:r>
          <w:r>
            <w:rPr>
              <w:bCs/>
              <w:caps/>
            </w:rPr>
            <w:fldChar w:fldCharType="separate"/>
          </w:r>
          <w:r>
            <w:rPr>
              <w:rFonts w:hint="eastAsia"/>
            </w:rPr>
            <w:t>附件</w:t>
          </w:r>
          <w:r>
            <w:rPr>
              <w:rFonts w:hint="eastAsia"/>
              <w:lang w:val="en-US" w:eastAsia="zh-CN"/>
            </w:rPr>
            <w:t>5</w:t>
          </w:r>
          <w:r>
            <w:t xml:space="preserve"> 近三年与本次招标书中要求的同类业绩和合同履行情</w:t>
          </w:r>
          <w:r>
            <w:rPr>
              <w:rFonts w:hint="eastAsia"/>
            </w:rPr>
            <w:t>况</w:t>
          </w:r>
          <w:r>
            <w:tab/>
          </w:r>
          <w:r>
            <w:fldChar w:fldCharType="begin"/>
          </w:r>
          <w:r>
            <w:instrText xml:space="preserve"> PAGEREF _Toc28612 \h </w:instrText>
          </w:r>
          <w:r>
            <w:fldChar w:fldCharType="separate"/>
          </w:r>
          <w:r>
            <w:t>26</w:t>
          </w:r>
          <w:r>
            <w:fldChar w:fldCharType="end"/>
          </w:r>
          <w:r>
            <w:rPr>
              <w:bCs/>
              <w:caps/>
            </w:rPr>
            <w:fldChar w:fldCharType="end"/>
          </w:r>
        </w:p>
        <w:p w14:paraId="7D56C42C">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_Toc2723 </w:instrText>
          </w:r>
          <w:r>
            <w:rPr>
              <w:bCs/>
              <w:caps/>
            </w:rPr>
            <w:fldChar w:fldCharType="separate"/>
          </w:r>
          <w:r>
            <w:rPr>
              <w:rFonts w:hint="eastAsia"/>
            </w:rPr>
            <w:t>附件</w:t>
          </w:r>
          <w:r>
            <w:rPr>
              <w:rFonts w:hint="eastAsia"/>
              <w:lang w:val="en-US" w:eastAsia="zh-CN"/>
            </w:rPr>
            <w:t>6</w:t>
          </w:r>
          <w:r>
            <w:t xml:space="preserve"> 组织机构、人员情况</w:t>
          </w:r>
          <w:r>
            <w:tab/>
          </w:r>
          <w:r>
            <w:fldChar w:fldCharType="begin"/>
          </w:r>
          <w:r>
            <w:instrText xml:space="preserve"> PAGEREF _Toc2723 \h </w:instrText>
          </w:r>
          <w:r>
            <w:fldChar w:fldCharType="separate"/>
          </w:r>
          <w:r>
            <w:t>27</w:t>
          </w:r>
          <w:r>
            <w:fldChar w:fldCharType="end"/>
          </w:r>
          <w:r>
            <w:rPr>
              <w:bCs/>
              <w:caps/>
            </w:rPr>
            <w:fldChar w:fldCharType="end"/>
          </w:r>
        </w:p>
        <w:p w14:paraId="2B8EE983">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_Toc17185 </w:instrText>
          </w:r>
          <w:r>
            <w:rPr>
              <w:bCs/>
              <w:caps/>
            </w:rPr>
            <w:fldChar w:fldCharType="separate"/>
          </w:r>
          <w:r>
            <w:rPr>
              <w:rFonts w:hint="eastAsia"/>
            </w:rPr>
            <w:t>附件</w:t>
          </w:r>
          <w:r>
            <w:rPr>
              <w:rFonts w:hint="eastAsia"/>
              <w:lang w:val="en-US" w:eastAsia="zh-CN"/>
            </w:rPr>
            <w:t xml:space="preserve">7 </w:t>
          </w:r>
          <w:r>
            <w:t>团队配置(拟</w:t>
          </w:r>
          <w:r>
            <w:rPr>
              <w:rFonts w:hint="eastAsia"/>
              <w:lang w:val="en-US" w:eastAsia="zh-CN"/>
            </w:rPr>
            <w:t>投入到</w:t>
          </w:r>
          <w:r>
            <w:t>本项目的主要人员情况)</w:t>
          </w:r>
          <w:r>
            <w:tab/>
          </w:r>
          <w:r>
            <w:fldChar w:fldCharType="begin"/>
          </w:r>
          <w:r>
            <w:instrText xml:space="preserve"> PAGEREF _Toc17185 \h </w:instrText>
          </w:r>
          <w:r>
            <w:fldChar w:fldCharType="separate"/>
          </w:r>
          <w:r>
            <w:t>28</w:t>
          </w:r>
          <w:r>
            <w:fldChar w:fldCharType="end"/>
          </w:r>
          <w:r>
            <w:rPr>
              <w:bCs/>
              <w:caps/>
            </w:rPr>
            <w:fldChar w:fldCharType="end"/>
          </w:r>
        </w:p>
        <w:p w14:paraId="1B4326A0">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_Toc24899 </w:instrText>
          </w:r>
          <w:r>
            <w:rPr>
              <w:bCs/>
              <w:caps/>
            </w:rPr>
            <w:fldChar w:fldCharType="separate"/>
          </w:r>
          <w:r>
            <w:rPr>
              <w:rFonts w:hint="eastAsia"/>
            </w:rPr>
            <w:t>附件</w:t>
          </w:r>
          <w:r>
            <w:rPr>
              <w:rFonts w:hint="eastAsia"/>
              <w:lang w:val="en-US" w:eastAsia="zh-CN"/>
            </w:rPr>
            <w:t>8</w:t>
          </w:r>
          <w:r>
            <w:t xml:space="preserve"> </w:t>
          </w:r>
          <w:r>
            <w:rPr>
              <w:rFonts w:hint="eastAsia"/>
            </w:rPr>
            <w:t>质量管理</w:t>
          </w:r>
          <w:r>
            <w:t>水平</w:t>
          </w:r>
          <w:r>
            <w:tab/>
          </w:r>
          <w:r>
            <w:fldChar w:fldCharType="begin"/>
          </w:r>
          <w:r>
            <w:instrText xml:space="preserve"> PAGEREF _Toc24899 \h </w:instrText>
          </w:r>
          <w:r>
            <w:fldChar w:fldCharType="separate"/>
          </w:r>
          <w:r>
            <w:t>29</w:t>
          </w:r>
          <w:r>
            <w:fldChar w:fldCharType="end"/>
          </w:r>
          <w:r>
            <w:rPr>
              <w:bCs/>
              <w:caps/>
            </w:rPr>
            <w:fldChar w:fldCharType="end"/>
          </w:r>
        </w:p>
        <w:p w14:paraId="3EF9ED8C">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_Toc18235 </w:instrText>
          </w:r>
          <w:r>
            <w:rPr>
              <w:bCs/>
              <w:caps/>
            </w:rPr>
            <w:fldChar w:fldCharType="separate"/>
          </w:r>
          <w:r>
            <w:rPr>
              <w:rFonts w:hint="eastAsia"/>
            </w:rPr>
            <w:t>附件</w:t>
          </w:r>
          <w:r>
            <w:rPr>
              <w:rFonts w:hint="eastAsia"/>
              <w:lang w:val="en-US" w:eastAsia="zh-CN"/>
            </w:rPr>
            <w:t>9</w:t>
          </w:r>
          <w:r>
            <w:t xml:space="preserve"> </w:t>
          </w:r>
          <w:r>
            <w:rPr>
              <w:rFonts w:hint="eastAsia"/>
            </w:rPr>
            <w:t>本项目工作</w:t>
          </w:r>
          <w:r>
            <w:t>方案</w:t>
          </w:r>
          <w:r>
            <w:tab/>
          </w:r>
          <w:r>
            <w:fldChar w:fldCharType="begin"/>
          </w:r>
          <w:r>
            <w:instrText xml:space="preserve"> PAGEREF _Toc18235 \h </w:instrText>
          </w:r>
          <w:r>
            <w:fldChar w:fldCharType="separate"/>
          </w:r>
          <w:r>
            <w:t>30</w:t>
          </w:r>
          <w:r>
            <w:fldChar w:fldCharType="end"/>
          </w:r>
          <w:r>
            <w:rPr>
              <w:bCs/>
              <w:caps/>
            </w:rPr>
            <w:fldChar w:fldCharType="end"/>
          </w:r>
        </w:p>
        <w:p w14:paraId="3B512CAB">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_Toc20143 </w:instrText>
          </w:r>
          <w:r>
            <w:rPr>
              <w:bCs/>
              <w:caps/>
            </w:rPr>
            <w:fldChar w:fldCharType="separate"/>
          </w:r>
          <w:r>
            <w:rPr>
              <w:rFonts w:hint="eastAsia"/>
            </w:rPr>
            <w:t>附件</w:t>
          </w:r>
          <w:r>
            <w:rPr>
              <w:rFonts w:hint="eastAsia"/>
              <w:lang w:val="en-US" w:eastAsia="zh-CN"/>
            </w:rPr>
            <w:t>10</w:t>
          </w:r>
          <w:r>
            <w:t xml:space="preserve"> </w:t>
          </w:r>
          <w:r>
            <w:rPr>
              <w:rFonts w:hint="eastAsia"/>
            </w:rPr>
            <w:t>信息安全管理</w:t>
          </w:r>
          <w:r>
            <w:t>情况等证明文件</w:t>
          </w:r>
          <w:r>
            <w:tab/>
          </w:r>
          <w:r>
            <w:fldChar w:fldCharType="begin"/>
          </w:r>
          <w:r>
            <w:instrText xml:space="preserve"> PAGEREF _Toc20143 \h </w:instrText>
          </w:r>
          <w:r>
            <w:fldChar w:fldCharType="separate"/>
          </w:r>
          <w:r>
            <w:t>31</w:t>
          </w:r>
          <w:r>
            <w:fldChar w:fldCharType="end"/>
          </w:r>
          <w:r>
            <w:rPr>
              <w:bCs/>
              <w:caps/>
            </w:rPr>
            <w:fldChar w:fldCharType="end"/>
          </w:r>
        </w:p>
        <w:p w14:paraId="55D8C780">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_Toc23788 </w:instrText>
          </w:r>
          <w:r>
            <w:rPr>
              <w:bCs/>
              <w:caps/>
            </w:rPr>
            <w:fldChar w:fldCharType="separate"/>
          </w:r>
          <w:r>
            <w:rPr>
              <w:rFonts w:hint="eastAsia"/>
            </w:rPr>
            <w:t>附件</w:t>
          </w:r>
          <w:r>
            <w:t>1</w:t>
          </w:r>
          <w:r>
            <w:rPr>
              <w:rFonts w:hint="eastAsia"/>
              <w:lang w:val="en-US" w:eastAsia="zh-CN"/>
            </w:rPr>
            <w:t>1</w:t>
          </w:r>
          <w:r>
            <w:t xml:space="preserve"> </w:t>
          </w:r>
          <w:r>
            <w:rPr>
              <w:rFonts w:hint="eastAsia"/>
            </w:rPr>
            <w:t>风险承担能力水平，按照相关要求提供计提风险金或缴纳职业保险金的证明材料。</w:t>
          </w:r>
          <w:r>
            <w:tab/>
          </w:r>
          <w:r>
            <w:fldChar w:fldCharType="begin"/>
          </w:r>
          <w:r>
            <w:instrText xml:space="preserve"> PAGEREF _Toc23788 \h </w:instrText>
          </w:r>
          <w:r>
            <w:fldChar w:fldCharType="separate"/>
          </w:r>
          <w:r>
            <w:t>32</w:t>
          </w:r>
          <w:r>
            <w:fldChar w:fldCharType="end"/>
          </w:r>
          <w:r>
            <w:rPr>
              <w:bCs/>
              <w:caps/>
            </w:rPr>
            <w:fldChar w:fldCharType="end"/>
          </w:r>
        </w:p>
        <w:p w14:paraId="5CFD5F87">
          <w:pPr>
            <w:pStyle w:val="18"/>
            <w:keepNext w:val="0"/>
            <w:keepLines w:val="0"/>
            <w:pageBreakBefore w:val="0"/>
            <w:widowControl w:val="0"/>
            <w:tabs>
              <w:tab w:val="right" w:leader="dot" w:pos="8312"/>
            </w:tabs>
            <w:kinsoku/>
            <w:wordWrap/>
            <w:overflowPunct/>
            <w:topLinePunct w:val="0"/>
            <w:autoSpaceDE/>
            <w:autoSpaceDN/>
            <w:bidi w:val="0"/>
            <w:adjustRightInd w:val="0"/>
            <w:snapToGrid w:val="0"/>
            <w:spacing w:before="0" w:line="360" w:lineRule="auto"/>
            <w:ind w:left="0" w:firstLine="0" w:firstLineChars="0"/>
            <w:textAlignment w:val="auto"/>
          </w:pPr>
          <w:r>
            <w:rPr>
              <w:bCs/>
              <w:caps/>
            </w:rPr>
            <w:fldChar w:fldCharType="begin"/>
          </w:r>
          <w:r>
            <w:rPr>
              <w:bCs/>
              <w:caps/>
            </w:rPr>
            <w:instrText xml:space="preserve"> HYPERLINK \l _Toc4693 </w:instrText>
          </w:r>
          <w:r>
            <w:rPr>
              <w:bCs/>
              <w:caps/>
            </w:rPr>
            <w:fldChar w:fldCharType="separate"/>
          </w:r>
          <w:r>
            <w:rPr>
              <w:rFonts w:hint="eastAsia"/>
              <w:highlight w:val="none"/>
            </w:rPr>
            <w:t>附件</w:t>
          </w:r>
          <w:r>
            <w:rPr>
              <w:highlight w:val="none"/>
            </w:rPr>
            <w:t>1</w:t>
          </w:r>
          <w:r>
            <w:rPr>
              <w:rFonts w:hint="eastAsia"/>
              <w:highlight w:val="none"/>
              <w:lang w:val="en-US" w:eastAsia="zh-CN"/>
            </w:rPr>
            <w:t>2</w:t>
          </w:r>
          <w:r>
            <w:rPr>
              <w:highlight w:val="none"/>
            </w:rPr>
            <w:t xml:space="preserve"> </w:t>
          </w:r>
          <w:r>
            <w:rPr>
              <w:rFonts w:hint="eastAsia"/>
              <w:lang w:val="en-US" w:eastAsia="zh-CN"/>
            </w:rPr>
            <w:t>其他资料：</w:t>
          </w:r>
          <w:r>
            <w:t>有利于本项目进行的其他相关资料及建议</w:t>
          </w:r>
          <w:r>
            <w:rPr>
              <w:rFonts w:hint="eastAsia"/>
              <w:lang w:val="en-US" w:eastAsia="zh-CN"/>
            </w:rPr>
            <w:t>等（如有，可选）</w:t>
          </w:r>
          <w:r>
            <w:tab/>
          </w:r>
          <w:r>
            <w:fldChar w:fldCharType="begin"/>
          </w:r>
          <w:r>
            <w:instrText xml:space="preserve"> PAGEREF _Toc4693 \h </w:instrText>
          </w:r>
          <w:r>
            <w:fldChar w:fldCharType="separate"/>
          </w:r>
          <w:r>
            <w:t>33</w:t>
          </w:r>
          <w:r>
            <w:fldChar w:fldCharType="end"/>
          </w:r>
          <w:r>
            <w:rPr>
              <w:bCs/>
              <w:caps/>
            </w:rPr>
            <w:fldChar w:fldCharType="end"/>
          </w:r>
        </w:p>
        <w:p w14:paraId="2BE44592">
          <w:pPr>
            <w:pStyle w:val="15"/>
            <w:keepNext w:val="0"/>
            <w:keepLines w:val="0"/>
            <w:pageBreakBefore w:val="0"/>
            <w:widowControl w:val="0"/>
            <w:tabs>
              <w:tab w:val="right" w:leader="dot" w:pos="8312"/>
              <w:tab w:val="clear" w:pos="8302"/>
            </w:tabs>
            <w:kinsoku/>
            <w:wordWrap/>
            <w:overflowPunct/>
            <w:topLinePunct w:val="0"/>
            <w:autoSpaceDE/>
            <w:autoSpaceDN/>
            <w:bidi w:val="0"/>
            <w:adjustRightInd w:val="0"/>
            <w:snapToGrid w:val="0"/>
            <w:spacing w:line="360" w:lineRule="auto"/>
            <w:ind w:left="0" w:firstLine="0" w:firstLineChars="0"/>
            <w:textAlignment w:val="auto"/>
          </w:pPr>
          <w:r>
            <w:rPr>
              <w:bCs/>
              <w:caps/>
            </w:rPr>
            <w:fldChar w:fldCharType="begin"/>
          </w:r>
          <w:r>
            <w:rPr>
              <w:bCs/>
              <w:caps/>
            </w:rPr>
            <w:instrText xml:space="preserve"> HYPERLINK \l _Toc10220 </w:instrText>
          </w:r>
          <w:r>
            <w:rPr>
              <w:bCs/>
              <w:caps/>
            </w:rPr>
            <w:fldChar w:fldCharType="separate"/>
          </w:r>
          <w:r>
            <w:rPr>
              <w:rFonts w:hint="eastAsia"/>
            </w:rPr>
            <w:t>第五部分</w:t>
          </w:r>
          <w:r>
            <w:t xml:space="preserve"> 评分方法和标准</w:t>
          </w:r>
          <w:r>
            <w:tab/>
          </w:r>
          <w:r>
            <w:fldChar w:fldCharType="begin"/>
          </w:r>
          <w:r>
            <w:instrText xml:space="preserve"> PAGEREF _Toc10220 \h </w:instrText>
          </w:r>
          <w:r>
            <w:fldChar w:fldCharType="separate"/>
          </w:r>
          <w:r>
            <w:t>34</w:t>
          </w:r>
          <w:r>
            <w:fldChar w:fldCharType="end"/>
          </w:r>
          <w:r>
            <w:rPr>
              <w:bCs/>
              <w:caps/>
            </w:rPr>
            <w:fldChar w:fldCharType="end"/>
          </w:r>
        </w:p>
        <w:p w14:paraId="0579825C">
          <w:pPr>
            <w:keepNext w:val="0"/>
            <w:keepLines w:val="0"/>
            <w:pageBreakBefore w:val="0"/>
            <w:widowControl w:val="0"/>
            <w:kinsoku/>
            <w:wordWrap/>
            <w:overflowPunct/>
            <w:topLinePunct w:val="0"/>
            <w:autoSpaceDE/>
            <w:autoSpaceDN/>
            <w:bidi w:val="0"/>
            <w:adjustRightInd w:val="0"/>
            <w:snapToGrid w:val="0"/>
            <w:spacing w:before="156" w:beforeLines="50" w:line="20" w:lineRule="exact"/>
            <w:ind w:firstLine="0" w:firstLineChars="0"/>
            <w:textAlignment w:val="auto"/>
          </w:pPr>
          <w:r>
            <w:rPr>
              <w:bCs/>
              <w:caps/>
            </w:rPr>
            <w:fldChar w:fldCharType="end"/>
          </w:r>
        </w:p>
      </w:sdtContent>
    </w:sdt>
    <w:p w14:paraId="345105FD">
      <w:pPr>
        <w:spacing w:before="156" w:beforeLines="50" w:line="240" w:lineRule="auto"/>
        <w:ind w:firstLine="0" w:firstLineChars="0"/>
      </w:pPr>
      <w:r>
        <w:br w:type="page"/>
      </w:r>
    </w:p>
    <w:p w14:paraId="7D2FCC5E">
      <w:pPr>
        <w:pStyle w:val="2"/>
        <w:ind w:firstLine="0" w:firstLineChars="0"/>
        <w:rPr>
          <w:rFonts w:hint="default" w:eastAsia="黑体"/>
          <w:lang w:val="en-US" w:eastAsia="zh-CN"/>
        </w:rPr>
      </w:pPr>
      <w:bookmarkStart w:id="0" w:name="_Toc9437"/>
      <w:r>
        <w:rPr>
          <w:rFonts w:hint="eastAsia"/>
        </w:rPr>
        <w:t>第一部分</w:t>
      </w:r>
      <w:r>
        <w:t xml:space="preserve"> </w:t>
      </w:r>
      <w:r>
        <w:rPr>
          <w:rFonts w:hint="eastAsia"/>
          <w:lang w:val="en-US" w:eastAsia="zh-CN"/>
        </w:rPr>
        <w:t>招标公告</w:t>
      </w:r>
      <w:bookmarkEnd w:id="0"/>
    </w:p>
    <w:p w14:paraId="601FB5A6">
      <w:r>
        <w:rPr>
          <w:rFonts w:hint="eastAsia"/>
        </w:rPr>
        <w:t>按照《国有企业、上市公司选聘会计师事务所管理办法》、《华丰动力股份有限公司会计师事务所选聘制度》（以下简称“选聘制度”）及《公司章程》等有关规定，经董事会审计委员会提议，公司决定开展</w:t>
      </w:r>
      <w:r>
        <w:t>2026年度财务报表审计及内控审计机构的选聘工作</w:t>
      </w:r>
      <w:r>
        <w:rPr>
          <w:rFonts w:hint="eastAsia"/>
        </w:rPr>
        <w:t>。为了保障选聘工作的公开、公平、公正，本次选聘采取公开招标方式，选聘出</w:t>
      </w:r>
      <w:r>
        <w:t>符合要求的会计师事务所承担公司2026年度财务报表</w:t>
      </w:r>
      <w:r>
        <w:rPr>
          <w:rFonts w:hint="eastAsia"/>
        </w:rPr>
        <w:t>审计、</w:t>
      </w:r>
      <w:r>
        <w:t>内</w:t>
      </w:r>
      <w:r>
        <w:rPr>
          <w:rFonts w:hint="eastAsia"/>
        </w:rPr>
        <w:t>部控制</w:t>
      </w:r>
      <w:r>
        <w:t>审计</w:t>
      </w:r>
      <w:r>
        <w:rPr>
          <w:rFonts w:hint="eastAsia"/>
        </w:rPr>
        <w:t>（包含根据证监会监管要求出具的专项监管报表审计）</w:t>
      </w:r>
      <w:r>
        <w:t>工作。</w:t>
      </w:r>
    </w:p>
    <w:p w14:paraId="7E4C2D08">
      <w:pPr>
        <w:pStyle w:val="3"/>
        <w:ind w:firstLine="560"/>
      </w:pPr>
      <w:bookmarkStart w:id="1" w:name="_Toc17524"/>
      <w:r>
        <w:rPr>
          <w:rFonts w:hint="eastAsia"/>
        </w:rPr>
        <w:t>一、公司基本情况</w:t>
      </w:r>
      <w:bookmarkEnd w:id="1"/>
    </w:p>
    <w:p w14:paraId="6006A9C6">
      <w:r>
        <w:rPr>
          <w:rFonts w:hint="eastAsia"/>
        </w:rPr>
        <w:t>华丰动力股份有限公司成立于</w:t>
      </w:r>
      <w:r>
        <w:t>2004年4月8日，主营业务为内燃机、发电机组、新能源动力总成系统及配套产品、精密零部件、通用机械产品及其配件的设计、开发、生产和销售，以及通信基站设备、设施的安装调试及综合运维服务。</w:t>
      </w:r>
    </w:p>
    <w:p w14:paraId="12E4AFED">
      <w:pPr>
        <w:ind w:firstLine="0" w:firstLineChars="0"/>
      </w:pPr>
      <w:r>
        <w:rPr>
          <w:rFonts w:hint="eastAsia"/>
        </w:rPr>
        <w:t xml:space="preserve"> </w:t>
      </w:r>
      <w:r>
        <w:t xml:space="preserve">   </w:t>
      </w:r>
      <w:r>
        <w:rPr>
          <w:rFonts w:hint="eastAsia"/>
        </w:rPr>
        <w:t>合并报表范围：</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839"/>
        <w:gridCol w:w="1065"/>
        <w:gridCol w:w="2759"/>
        <w:gridCol w:w="865"/>
        <w:gridCol w:w="885"/>
      </w:tblGrid>
      <w:tr w14:paraId="72B4C9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38" w:type="pct"/>
            <w:vMerge w:val="restart"/>
            <w:shd w:val="clear" w:color="auto" w:fill="auto"/>
            <w:vAlign w:val="center"/>
          </w:tcPr>
          <w:p w14:paraId="731F73D1">
            <w:pPr>
              <w:spacing w:line="240" w:lineRule="auto"/>
              <w:ind w:left="-80" w:right="-69" w:firstLine="0" w:firstLineChars="0"/>
              <w:jc w:val="center"/>
              <w:rPr>
                <w:rFonts w:cs="Times New Roman"/>
                <w:snapToGrid w:val="0"/>
                <w:kern w:val="0"/>
                <w:sz w:val="18"/>
                <w:szCs w:val="18"/>
              </w:rPr>
            </w:pPr>
            <w:r>
              <w:rPr>
                <w:rFonts w:hint="eastAsia" w:cs="Times New Roman"/>
                <w:snapToGrid w:val="0"/>
                <w:kern w:val="0"/>
                <w:sz w:val="18"/>
                <w:szCs w:val="18"/>
              </w:rPr>
              <w:t>公司名称</w:t>
            </w:r>
          </w:p>
        </w:tc>
        <w:tc>
          <w:tcPr>
            <w:tcW w:w="492" w:type="pct"/>
            <w:vMerge w:val="restart"/>
            <w:shd w:val="clear" w:color="auto" w:fill="auto"/>
            <w:vAlign w:val="center"/>
          </w:tcPr>
          <w:p w14:paraId="23B5999D">
            <w:pPr>
              <w:spacing w:line="240" w:lineRule="auto"/>
              <w:ind w:firstLine="0" w:firstLineChars="0"/>
              <w:jc w:val="center"/>
              <w:rPr>
                <w:rFonts w:cs="Times New Roman"/>
                <w:snapToGrid w:val="0"/>
                <w:kern w:val="0"/>
                <w:sz w:val="18"/>
                <w:szCs w:val="18"/>
              </w:rPr>
            </w:pPr>
            <w:r>
              <w:rPr>
                <w:rFonts w:hint="eastAsia" w:cs="宋体"/>
                <w:snapToGrid w:val="0"/>
                <w:kern w:val="0"/>
                <w:sz w:val="18"/>
                <w:szCs w:val="18"/>
              </w:rPr>
              <w:t>主要经营地</w:t>
            </w:r>
          </w:p>
        </w:tc>
        <w:tc>
          <w:tcPr>
            <w:tcW w:w="624" w:type="pct"/>
            <w:vMerge w:val="restart"/>
            <w:shd w:val="clear" w:color="auto" w:fill="auto"/>
            <w:vAlign w:val="center"/>
          </w:tcPr>
          <w:p w14:paraId="4BACADBF">
            <w:pPr>
              <w:spacing w:line="240" w:lineRule="auto"/>
              <w:ind w:firstLine="0" w:firstLineChars="0"/>
              <w:jc w:val="center"/>
              <w:rPr>
                <w:rFonts w:cs="Times New Roman"/>
                <w:snapToGrid w:val="0"/>
                <w:kern w:val="0"/>
                <w:sz w:val="18"/>
                <w:szCs w:val="18"/>
              </w:rPr>
            </w:pPr>
            <w:r>
              <w:rPr>
                <w:rFonts w:hint="eastAsia" w:cs="Times New Roman"/>
                <w:snapToGrid w:val="0"/>
                <w:kern w:val="0"/>
                <w:sz w:val="18"/>
                <w:szCs w:val="18"/>
              </w:rPr>
              <w:t>注册地</w:t>
            </w:r>
          </w:p>
        </w:tc>
        <w:tc>
          <w:tcPr>
            <w:tcW w:w="1617" w:type="pct"/>
            <w:vMerge w:val="restart"/>
            <w:shd w:val="clear" w:color="auto" w:fill="auto"/>
            <w:vAlign w:val="center"/>
          </w:tcPr>
          <w:p w14:paraId="7B8E1E04">
            <w:pPr>
              <w:spacing w:line="240" w:lineRule="auto"/>
              <w:ind w:firstLine="0" w:firstLineChars="0"/>
              <w:jc w:val="center"/>
              <w:rPr>
                <w:rFonts w:cs="Times New Roman"/>
                <w:snapToGrid w:val="0"/>
                <w:kern w:val="0"/>
                <w:sz w:val="18"/>
                <w:szCs w:val="18"/>
              </w:rPr>
            </w:pPr>
            <w:r>
              <w:rPr>
                <w:rFonts w:hint="eastAsia" w:cs="宋体"/>
                <w:snapToGrid w:val="0"/>
                <w:kern w:val="0"/>
                <w:sz w:val="18"/>
                <w:szCs w:val="18"/>
              </w:rPr>
              <w:t>业务性质</w:t>
            </w:r>
          </w:p>
        </w:tc>
        <w:tc>
          <w:tcPr>
            <w:tcW w:w="1026" w:type="pct"/>
            <w:gridSpan w:val="2"/>
            <w:shd w:val="clear" w:color="auto" w:fill="auto"/>
            <w:vAlign w:val="center"/>
          </w:tcPr>
          <w:p w14:paraId="7D17B2B1">
            <w:pPr>
              <w:spacing w:line="240" w:lineRule="auto"/>
              <w:ind w:firstLine="0" w:firstLineChars="0"/>
              <w:jc w:val="center"/>
              <w:rPr>
                <w:rFonts w:cs="宋体"/>
                <w:snapToGrid w:val="0"/>
                <w:kern w:val="0"/>
                <w:sz w:val="18"/>
                <w:szCs w:val="18"/>
              </w:rPr>
            </w:pPr>
            <w:r>
              <w:rPr>
                <w:rFonts w:hint="eastAsia" w:cs="宋体"/>
                <w:snapToGrid w:val="0"/>
                <w:kern w:val="0"/>
                <w:sz w:val="18"/>
                <w:szCs w:val="18"/>
              </w:rPr>
              <w:t>持股比例(%)</w:t>
            </w:r>
          </w:p>
        </w:tc>
      </w:tr>
      <w:tr w14:paraId="69EB27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vMerge w:val="continue"/>
            <w:shd w:val="clear" w:color="auto" w:fill="auto"/>
            <w:vAlign w:val="center"/>
          </w:tcPr>
          <w:p w14:paraId="1F8A46F5">
            <w:pPr>
              <w:spacing w:line="240" w:lineRule="auto"/>
              <w:ind w:firstLine="0" w:firstLineChars="0"/>
              <w:jc w:val="center"/>
              <w:rPr>
                <w:rFonts w:cs="Times New Roman"/>
                <w:snapToGrid w:val="0"/>
                <w:kern w:val="0"/>
                <w:sz w:val="18"/>
                <w:szCs w:val="18"/>
              </w:rPr>
            </w:pPr>
          </w:p>
        </w:tc>
        <w:tc>
          <w:tcPr>
            <w:tcW w:w="492" w:type="pct"/>
            <w:vMerge w:val="continue"/>
            <w:shd w:val="clear" w:color="auto" w:fill="auto"/>
            <w:vAlign w:val="center"/>
          </w:tcPr>
          <w:p w14:paraId="7BB74879">
            <w:pPr>
              <w:spacing w:line="240" w:lineRule="auto"/>
              <w:ind w:firstLine="0" w:firstLineChars="0"/>
              <w:jc w:val="center"/>
              <w:rPr>
                <w:rFonts w:cs="Times New Roman"/>
                <w:snapToGrid w:val="0"/>
                <w:kern w:val="0"/>
                <w:sz w:val="18"/>
                <w:szCs w:val="18"/>
              </w:rPr>
            </w:pPr>
          </w:p>
        </w:tc>
        <w:tc>
          <w:tcPr>
            <w:tcW w:w="624" w:type="pct"/>
            <w:vMerge w:val="continue"/>
            <w:shd w:val="clear" w:color="auto" w:fill="auto"/>
            <w:vAlign w:val="center"/>
          </w:tcPr>
          <w:p w14:paraId="0A571999">
            <w:pPr>
              <w:spacing w:line="240" w:lineRule="auto"/>
              <w:ind w:firstLine="0" w:firstLineChars="0"/>
              <w:jc w:val="center"/>
              <w:rPr>
                <w:rFonts w:cs="Times New Roman"/>
                <w:snapToGrid w:val="0"/>
                <w:kern w:val="0"/>
                <w:sz w:val="18"/>
                <w:szCs w:val="18"/>
              </w:rPr>
            </w:pPr>
          </w:p>
        </w:tc>
        <w:tc>
          <w:tcPr>
            <w:tcW w:w="1617" w:type="pct"/>
            <w:vMerge w:val="continue"/>
            <w:shd w:val="clear" w:color="auto" w:fill="auto"/>
            <w:vAlign w:val="center"/>
          </w:tcPr>
          <w:p w14:paraId="506ABA60">
            <w:pPr>
              <w:spacing w:line="240" w:lineRule="auto"/>
              <w:ind w:firstLine="0" w:firstLineChars="0"/>
              <w:jc w:val="center"/>
              <w:rPr>
                <w:rFonts w:cs="Times New Roman"/>
                <w:snapToGrid w:val="0"/>
                <w:kern w:val="0"/>
                <w:sz w:val="18"/>
                <w:szCs w:val="18"/>
              </w:rPr>
            </w:pPr>
          </w:p>
        </w:tc>
        <w:tc>
          <w:tcPr>
            <w:tcW w:w="507" w:type="pct"/>
            <w:shd w:val="clear" w:color="auto" w:fill="auto"/>
            <w:vAlign w:val="center"/>
          </w:tcPr>
          <w:p w14:paraId="36EF3ECD">
            <w:pPr>
              <w:spacing w:line="240" w:lineRule="auto"/>
              <w:ind w:firstLine="0" w:firstLineChars="0"/>
              <w:jc w:val="center"/>
              <w:rPr>
                <w:rFonts w:cs="Times New Roman"/>
                <w:snapToGrid w:val="0"/>
                <w:kern w:val="0"/>
                <w:sz w:val="18"/>
                <w:szCs w:val="18"/>
              </w:rPr>
            </w:pPr>
            <w:r>
              <w:rPr>
                <w:rFonts w:hint="eastAsia" w:cs="Times New Roman"/>
                <w:snapToGrid w:val="0"/>
                <w:kern w:val="0"/>
                <w:sz w:val="18"/>
                <w:szCs w:val="18"/>
              </w:rPr>
              <w:t>直接</w:t>
            </w:r>
          </w:p>
        </w:tc>
        <w:tc>
          <w:tcPr>
            <w:tcW w:w="519" w:type="pct"/>
            <w:shd w:val="clear" w:color="auto" w:fill="auto"/>
            <w:vAlign w:val="center"/>
          </w:tcPr>
          <w:p w14:paraId="58F83C64">
            <w:pPr>
              <w:spacing w:line="240" w:lineRule="auto"/>
              <w:ind w:firstLine="0" w:firstLineChars="0"/>
              <w:jc w:val="left"/>
              <w:rPr>
                <w:rFonts w:cs="Times New Roman"/>
                <w:snapToGrid w:val="0"/>
                <w:kern w:val="0"/>
                <w:sz w:val="18"/>
                <w:szCs w:val="18"/>
              </w:rPr>
            </w:pPr>
            <w:r>
              <w:rPr>
                <w:rFonts w:hint="eastAsia" w:cs="Times New Roman"/>
                <w:snapToGrid w:val="0"/>
                <w:kern w:val="0"/>
                <w:sz w:val="18"/>
                <w:szCs w:val="18"/>
              </w:rPr>
              <w:t>间接</w:t>
            </w:r>
          </w:p>
        </w:tc>
      </w:tr>
      <w:tr w14:paraId="2AD5D5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14:paraId="6058A819">
            <w:pPr>
              <w:spacing w:line="240" w:lineRule="auto"/>
              <w:ind w:firstLine="0" w:firstLineChars="0"/>
              <w:rPr>
                <w:rFonts w:cs="Times New Roman"/>
                <w:snapToGrid w:val="0"/>
                <w:kern w:val="0"/>
                <w:sz w:val="18"/>
                <w:szCs w:val="18"/>
              </w:rPr>
            </w:pPr>
            <w:r>
              <w:rPr>
                <w:rFonts w:hint="eastAsia" w:cs="Times New Roman"/>
                <w:snapToGrid w:val="0"/>
                <w:kern w:val="0"/>
                <w:sz w:val="18"/>
                <w:szCs w:val="18"/>
              </w:rPr>
              <w:t>华丰动力股份有限公司（母公司）</w:t>
            </w:r>
          </w:p>
        </w:tc>
        <w:tc>
          <w:tcPr>
            <w:tcW w:w="492" w:type="pct"/>
            <w:shd w:val="clear" w:color="auto" w:fill="auto"/>
            <w:vAlign w:val="center"/>
          </w:tcPr>
          <w:p w14:paraId="1A711DAE">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潍坊</w:t>
            </w:r>
          </w:p>
        </w:tc>
        <w:tc>
          <w:tcPr>
            <w:tcW w:w="624" w:type="pct"/>
            <w:shd w:val="clear" w:color="auto" w:fill="auto"/>
            <w:vAlign w:val="center"/>
          </w:tcPr>
          <w:p w14:paraId="7D95BC2E">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潍坊</w:t>
            </w:r>
          </w:p>
        </w:tc>
        <w:tc>
          <w:tcPr>
            <w:tcW w:w="1617" w:type="pct"/>
            <w:shd w:val="clear" w:color="auto" w:fill="auto"/>
            <w:vAlign w:val="center"/>
          </w:tcPr>
          <w:p w14:paraId="371F46D9">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内燃机、发电机组、新能源动力总成系统及配套产品、精密零部件、通用机械产品及其配件的设计、开发、生产和销售</w:t>
            </w:r>
          </w:p>
        </w:tc>
        <w:tc>
          <w:tcPr>
            <w:tcW w:w="507" w:type="pct"/>
            <w:shd w:val="clear" w:color="auto" w:fill="auto"/>
            <w:vAlign w:val="center"/>
          </w:tcPr>
          <w:p w14:paraId="26847982">
            <w:pPr>
              <w:widowControl/>
              <w:spacing w:line="240" w:lineRule="auto"/>
              <w:ind w:firstLine="360" w:firstLineChars="0"/>
              <w:jc w:val="right"/>
              <w:rPr>
                <w:rFonts w:hint="default" w:ascii="Times New Roman" w:hAnsi="Times New Roman" w:cs="Times New Roman"/>
                <w:sz w:val="18"/>
                <w:szCs w:val="18"/>
              </w:rPr>
            </w:pPr>
          </w:p>
        </w:tc>
        <w:tc>
          <w:tcPr>
            <w:tcW w:w="519" w:type="pct"/>
            <w:shd w:val="clear" w:color="auto" w:fill="auto"/>
            <w:vAlign w:val="center"/>
          </w:tcPr>
          <w:p w14:paraId="3807B28D">
            <w:pPr>
              <w:widowControl/>
              <w:spacing w:line="240" w:lineRule="auto"/>
              <w:ind w:firstLine="360" w:firstLineChars="0"/>
              <w:jc w:val="right"/>
              <w:rPr>
                <w:rFonts w:hint="default" w:ascii="Times New Roman" w:hAnsi="Times New Roman" w:cs="Times New Roman"/>
                <w:sz w:val="18"/>
                <w:szCs w:val="18"/>
              </w:rPr>
            </w:pPr>
          </w:p>
        </w:tc>
      </w:tr>
      <w:tr w14:paraId="0D5646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14:paraId="34DE5B4D">
            <w:pPr>
              <w:spacing w:line="240" w:lineRule="auto"/>
              <w:ind w:firstLine="0" w:firstLineChars="0"/>
              <w:jc w:val="left"/>
              <w:rPr>
                <w:rFonts w:ascii="Times New Roman" w:hAnsi="Times New Roman" w:cs="Times New Roman"/>
                <w:snapToGrid w:val="0"/>
                <w:kern w:val="0"/>
                <w:sz w:val="18"/>
                <w:szCs w:val="18"/>
              </w:rPr>
            </w:pPr>
            <w:r>
              <w:rPr>
                <w:rFonts w:hint="eastAsia" w:ascii="Times New Roman" w:hAnsi="Times New Roman" w:cs="Times New Roman"/>
                <w:snapToGrid w:val="0"/>
                <w:kern w:val="0"/>
                <w:sz w:val="18"/>
                <w:szCs w:val="18"/>
              </w:rPr>
              <w:t>巨信智云科技（上海）有限公司</w:t>
            </w:r>
          </w:p>
        </w:tc>
        <w:tc>
          <w:tcPr>
            <w:tcW w:w="492" w:type="pct"/>
            <w:shd w:val="clear" w:color="auto" w:fill="auto"/>
            <w:vAlign w:val="center"/>
          </w:tcPr>
          <w:p w14:paraId="767BC704">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上海市</w:t>
            </w:r>
          </w:p>
        </w:tc>
        <w:tc>
          <w:tcPr>
            <w:tcW w:w="624" w:type="pct"/>
            <w:shd w:val="clear" w:color="auto" w:fill="auto"/>
            <w:vAlign w:val="center"/>
          </w:tcPr>
          <w:p w14:paraId="0F0B1A74">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上海市</w:t>
            </w:r>
          </w:p>
        </w:tc>
        <w:tc>
          <w:tcPr>
            <w:tcW w:w="1617" w:type="pct"/>
            <w:shd w:val="clear" w:color="auto" w:fill="auto"/>
            <w:vAlign w:val="center"/>
          </w:tcPr>
          <w:p w14:paraId="38D9B7D0">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货物与技术的进出口业务，机电设备及零配件等的销售</w:t>
            </w:r>
          </w:p>
        </w:tc>
        <w:tc>
          <w:tcPr>
            <w:tcW w:w="507" w:type="pct"/>
            <w:shd w:val="clear" w:color="auto" w:fill="auto"/>
            <w:vAlign w:val="center"/>
          </w:tcPr>
          <w:p w14:paraId="031EE587">
            <w:pPr>
              <w:widowControl/>
              <w:spacing w:line="240" w:lineRule="auto"/>
              <w:ind w:firstLine="0" w:firstLineChars="0"/>
              <w:jc w:val="right"/>
              <w:rPr>
                <w:rFonts w:hint="default" w:ascii="Times New Roman" w:hAnsi="Times New Roman" w:cs="Times New Roman"/>
                <w:sz w:val="18"/>
                <w:szCs w:val="18"/>
              </w:rPr>
            </w:pPr>
            <w:r>
              <w:rPr>
                <w:rFonts w:hint="default" w:ascii="Times New Roman" w:hAnsi="Times New Roman" w:cs="Times New Roman"/>
                <w:sz w:val="18"/>
                <w:szCs w:val="18"/>
              </w:rPr>
              <w:t>100.00</w:t>
            </w:r>
          </w:p>
        </w:tc>
        <w:tc>
          <w:tcPr>
            <w:tcW w:w="519" w:type="pct"/>
            <w:shd w:val="clear" w:color="auto" w:fill="auto"/>
            <w:vAlign w:val="center"/>
          </w:tcPr>
          <w:p w14:paraId="14532F0E">
            <w:pPr>
              <w:widowControl/>
              <w:spacing w:line="240" w:lineRule="auto"/>
              <w:ind w:firstLine="360" w:firstLineChars="0"/>
              <w:jc w:val="right"/>
              <w:rPr>
                <w:rFonts w:hint="default" w:ascii="Times New Roman" w:hAnsi="Times New Roman" w:cs="Times New Roman"/>
                <w:sz w:val="18"/>
                <w:szCs w:val="18"/>
              </w:rPr>
            </w:pPr>
          </w:p>
        </w:tc>
      </w:tr>
      <w:tr w14:paraId="0C1A9C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14:paraId="755171FA">
            <w:pPr>
              <w:spacing w:line="240" w:lineRule="auto"/>
              <w:ind w:firstLine="0" w:firstLineChars="0"/>
              <w:jc w:val="left"/>
              <w:rPr>
                <w:rFonts w:ascii="Times New Roman" w:hAnsi="Times New Roman" w:cs="Times New Roman"/>
                <w:snapToGrid w:val="0"/>
                <w:kern w:val="0"/>
                <w:sz w:val="18"/>
                <w:szCs w:val="18"/>
              </w:rPr>
            </w:pPr>
            <w:r>
              <w:rPr>
                <w:rFonts w:ascii="Times New Roman" w:hAnsi="Times New Roman" w:cs="Times New Roman"/>
                <w:snapToGrid w:val="0"/>
                <w:kern w:val="0"/>
                <w:sz w:val="18"/>
                <w:szCs w:val="18"/>
              </w:rPr>
              <w:t>Power HF International Pte. Ltd</w:t>
            </w:r>
          </w:p>
        </w:tc>
        <w:tc>
          <w:tcPr>
            <w:tcW w:w="492" w:type="pct"/>
            <w:shd w:val="clear" w:color="auto" w:fill="auto"/>
            <w:vAlign w:val="center"/>
          </w:tcPr>
          <w:p w14:paraId="2F3B770A">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新加坡</w:t>
            </w:r>
          </w:p>
        </w:tc>
        <w:tc>
          <w:tcPr>
            <w:tcW w:w="624" w:type="pct"/>
            <w:shd w:val="clear" w:color="auto" w:fill="auto"/>
            <w:vAlign w:val="center"/>
          </w:tcPr>
          <w:p w14:paraId="28C60BE2">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新加坡</w:t>
            </w:r>
          </w:p>
        </w:tc>
        <w:tc>
          <w:tcPr>
            <w:tcW w:w="1617" w:type="pct"/>
            <w:shd w:val="clear" w:color="auto" w:fill="auto"/>
            <w:vAlign w:val="center"/>
          </w:tcPr>
          <w:p w14:paraId="20AFB7D9">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投资及投资管理</w:t>
            </w:r>
          </w:p>
        </w:tc>
        <w:tc>
          <w:tcPr>
            <w:tcW w:w="507" w:type="pct"/>
            <w:shd w:val="clear" w:color="auto" w:fill="auto"/>
            <w:vAlign w:val="center"/>
          </w:tcPr>
          <w:p w14:paraId="79EA3D0C">
            <w:pPr>
              <w:widowControl/>
              <w:spacing w:line="240" w:lineRule="auto"/>
              <w:ind w:firstLine="0" w:firstLineChars="0"/>
              <w:jc w:val="right"/>
              <w:rPr>
                <w:rFonts w:hint="default" w:ascii="Times New Roman" w:hAnsi="Times New Roman" w:cs="Times New Roman"/>
                <w:sz w:val="18"/>
                <w:szCs w:val="18"/>
              </w:rPr>
            </w:pPr>
            <w:r>
              <w:rPr>
                <w:rFonts w:hint="default" w:ascii="Times New Roman" w:hAnsi="Times New Roman" w:cs="Times New Roman"/>
                <w:sz w:val="18"/>
                <w:szCs w:val="18"/>
              </w:rPr>
              <w:t>100.00</w:t>
            </w:r>
          </w:p>
        </w:tc>
        <w:tc>
          <w:tcPr>
            <w:tcW w:w="519" w:type="pct"/>
            <w:shd w:val="clear" w:color="auto" w:fill="auto"/>
            <w:vAlign w:val="center"/>
          </w:tcPr>
          <w:p w14:paraId="5C5CC767">
            <w:pPr>
              <w:widowControl/>
              <w:spacing w:line="240" w:lineRule="auto"/>
              <w:ind w:firstLine="360" w:firstLineChars="0"/>
              <w:jc w:val="right"/>
              <w:rPr>
                <w:rFonts w:hint="default" w:ascii="Times New Roman" w:hAnsi="Times New Roman" w:cs="Times New Roman"/>
                <w:sz w:val="18"/>
                <w:szCs w:val="18"/>
              </w:rPr>
            </w:pPr>
          </w:p>
        </w:tc>
      </w:tr>
      <w:tr w14:paraId="0B924D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14:paraId="0C1A22B8">
            <w:pPr>
              <w:spacing w:line="240" w:lineRule="auto"/>
              <w:ind w:firstLine="0" w:firstLineChars="0"/>
              <w:jc w:val="left"/>
              <w:rPr>
                <w:rFonts w:ascii="Times New Roman" w:hAnsi="Times New Roman" w:cs="Times New Roman"/>
                <w:snapToGrid w:val="0"/>
                <w:kern w:val="0"/>
                <w:sz w:val="18"/>
                <w:szCs w:val="18"/>
              </w:rPr>
            </w:pPr>
            <w:r>
              <w:rPr>
                <w:rFonts w:ascii="Times New Roman" w:hAnsi="Times New Roman" w:cs="Times New Roman"/>
                <w:snapToGrid w:val="0"/>
                <w:kern w:val="0"/>
                <w:sz w:val="18"/>
                <w:szCs w:val="18"/>
              </w:rPr>
              <w:t>Jointek Global Pte. Ltd.</w:t>
            </w:r>
          </w:p>
        </w:tc>
        <w:tc>
          <w:tcPr>
            <w:tcW w:w="492" w:type="pct"/>
            <w:shd w:val="clear" w:color="auto" w:fill="auto"/>
            <w:vAlign w:val="center"/>
          </w:tcPr>
          <w:p w14:paraId="4A2D0481">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新加坡</w:t>
            </w:r>
          </w:p>
        </w:tc>
        <w:tc>
          <w:tcPr>
            <w:tcW w:w="624" w:type="pct"/>
            <w:shd w:val="clear" w:color="auto" w:fill="auto"/>
            <w:vAlign w:val="center"/>
          </w:tcPr>
          <w:p w14:paraId="715D5279">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新加坡</w:t>
            </w:r>
          </w:p>
        </w:tc>
        <w:tc>
          <w:tcPr>
            <w:tcW w:w="1617" w:type="pct"/>
            <w:shd w:val="clear" w:color="auto" w:fill="auto"/>
            <w:vAlign w:val="center"/>
          </w:tcPr>
          <w:p w14:paraId="4051DEB0">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投资及投资管理</w:t>
            </w:r>
          </w:p>
        </w:tc>
        <w:tc>
          <w:tcPr>
            <w:tcW w:w="507" w:type="pct"/>
            <w:shd w:val="clear" w:color="auto" w:fill="auto"/>
            <w:vAlign w:val="center"/>
          </w:tcPr>
          <w:p w14:paraId="6E1A1092">
            <w:pPr>
              <w:widowControl/>
              <w:spacing w:line="240" w:lineRule="auto"/>
              <w:ind w:firstLine="0" w:firstLineChars="0"/>
              <w:jc w:val="right"/>
              <w:rPr>
                <w:rFonts w:hint="default" w:ascii="Times New Roman" w:hAnsi="Times New Roman" w:cs="Times New Roman"/>
                <w:sz w:val="18"/>
                <w:szCs w:val="18"/>
              </w:rPr>
            </w:pPr>
            <w:r>
              <w:rPr>
                <w:rFonts w:hint="default" w:ascii="Times New Roman" w:hAnsi="Times New Roman" w:cs="Times New Roman"/>
                <w:sz w:val="18"/>
                <w:szCs w:val="18"/>
              </w:rPr>
              <w:t>100.00</w:t>
            </w:r>
          </w:p>
        </w:tc>
        <w:tc>
          <w:tcPr>
            <w:tcW w:w="519" w:type="pct"/>
            <w:shd w:val="clear" w:color="auto" w:fill="auto"/>
            <w:vAlign w:val="center"/>
          </w:tcPr>
          <w:p w14:paraId="7187CD77">
            <w:pPr>
              <w:widowControl/>
              <w:spacing w:line="240" w:lineRule="auto"/>
              <w:ind w:firstLine="360" w:firstLineChars="0"/>
              <w:jc w:val="right"/>
              <w:rPr>
                <w:rFonts w:hint="default" w:ascii="Times New Roman" w:hAnsi="Times New Roman" w:cs="Times New Roman"/>
                <w:sz w:val="18"/>
                <w:szCs w:val="18"/>
              </w:rPr>
            </w:pPr>
          </w:p>
        </w:tc>
      </w:tr>
      <w:tr w14:paraId="788F9B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14:paraId="58BB1AA2">
            <w:pPr>
              <w:spacing w:line="240" w:lineRule="auto"/>
              <w:ind w:firstLine="0" w:firstLineChars="0"/>
              <w:jc w:val="left"/>
              <w:rPr>
                <w:rFonts w:ascii="Times New Roman" w:hAnsi="Times New Roman" w:cs="Times New Roman"/>
                <w:snapToGrid w:val="0"/>
                <w:kern w:val="0"/>
                <w:sz w:val="18"/>
                <w:szCs w:val="18"/>
              </w:rPr>
            </w:pPr>
            <w:r>
              <w:rPr>
                <w:rFonts w:ascii="Times New Roman" w:hAnsi="Times New Roman" w:cs="Times New Roman"/>
                <w:snapToGrid w:val="0"/>
                <w:kern w:val="0"/>
                <w:sz w:val="18"/>
                <w:szCs w:val="18"/>
              </w:rPr>
              <w:t>PowerHF India Private Limited</w:t>
            </w:r>
          </w:p>
        </w:tc>
        <w:tc>
          <w:tcPr>
            <w:tcW w:w="492" w:type="pct"/>
            <w:shd w:val="clear" w:color="auto" w:fill="auto"/>
            <w:vAlign w:val="center"/>
          </w:tcPr>
          <w:p w14:paraId="4972C483">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印度</w:t>
            </w:r>
          </w:p>
        </w:tc>
        <w:tc>
          <w:tcPr>
            <w:tcW w:w="624" w:type="pct"/>
            <w:shd w:val="clear" w:color="auto" w:fill="auto"/>
            <w:vAlign w:val="center"/>
          </w:tcPr>
          <w:p w14:paraId="46F05079">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印度</w:t>
            </w:r>
          </w:p>
        </w:tc>
        <w:tc>
          <w:tcPr>
            <w:tcW w:w="1617" w:type="pct"/>
            <w:shd w:val="clear" w:color="auto" w:fill="auto"/>
            <w:vAlign w:val="center"/>
          </w:tcPr>
          <w:p w14:paraId="399D0C6E">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销售商品及提供劳务</w:t>
            </w:r>
          </w:p>
        </w:tc>
        <w:tc>
          <w:tcPr>
            <w:tcW w:w="507" w:type="pct"/>
            <w:shd w:val="clear" w:color="auto" w:fill="auto"/>
            <w:vAlign w:val="center"/>
          </w:tcPr>
          <w:p w14:paraId="0B9C3A79">
            <w:pPr>
              <w:widowControl/>
              <w:spacing w:line="240" w:lineRule="auto"/>
              <w:ind w:firstLine="360" w:firstLineChars="0"/>
              <w:jc w:val="right"/>
              <w:rPr>
                <w:rFonts w:hint="default" w:ascii="Times New Roman" w:hAnsi="Times New Roman" w:cs="Times New Roman"/>
                <w:sz w:val="18"/>
                <w:szCs w:val="18"/>
              </w:rPr>
            </w:pPr>
          </w:p>
        </w:tc>
        <w:tc>
          <w:tcPr>
            <w:tcW w:w="519" w:type="pct"/>
            <w:shd w:val="clear" w:color="auto" w:fill="auto"/>
            <w:vAlign w:val="center"/>
          </w:tcPr>
          <w:p w14:paraId="1E94502B">
            <w:pPr>
              <w:widowControl/>
              <w:spacing w:line="240" w:lineRule="auto"/>
              <w:ind w:firstLine="0" w:firstLineChars="0"/>
              <w:jc w:val="right"/>
              <w:rPr>
                <w:rFonts w:hint="default" w:ascii="Times New Roman" w:hAnsi="Times New Roman" w:cs="Times New Roman"/>
                <w:sz w:val="18"/>
                <w:szCs w:val="18"/>
              </w:rPr>
            </w:pPr>
            <w:r>
              <w:rPr>
                <w:rFonts w:hint="default" w:ascii="Times New Roman" w:hAnsi="Times New Roman" w:cs="Times New Roman"/>
                <w:sz w:val="18"/>
                <w:szCs w:val="18"/>
              </w:rPr>
              <w:t>100.00</w:t>
            </w:r>
          </w:p>
        </w:tc>
      </w:tr>
      <w:tr w14:paraId="66497A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14:paraId="7F588991">
            <w:pPr>
              <w:spacing w:line="240" w:lineRule="auto"/>
              <w:ind w:firstLine="0" w:firstLineChars="0"/>
              <w:jc w:val="left"/>
              <w:rPr>
                <w:rFonts w:ascii="Times New Roman" w:hAnsi="Times New Roman" w:cs="Times New Roman"/>
                <w:snapToGrid w:val="0"/>
                <w:kern w:val="0"/>
                <w:sz w:val="18"/>
                <w:szCs w:val="18"/>
              </w:rPr>
            </w:pPr>
            <w:bookmarkStart w:id="2" w:name="_Hlk164082147"/>
            <w:r>
              <w:rPr>
                <w:rFonts w:ascii="Times New Roman" w:hAnsi="Times New Roman" w:cs="Times New Roman"/>
                <w:snapToGrid w:val="0"/>
                <w:kern w:val="0"/>
                <w:sz w:val="18"/>
                <w:szCs w:val="18"/>
              </w:rPr>
              <w:t>Power HF Myanmar Company Limited</w:t>
            </w:r>
            <w:bookmarkEnd w:id="2"/>
          </w:p>
        </w:tc>
        <w:tc>
          <w:tcPr>
            <w:tcW w:w="492" w:type="pct"/>
            <w:shd w:val="clear" w:color="auto" w:fill="auto"/>
            <w:vAlign w:val="center"/>
          </w:tcPr>
          <w:p w14:paraId="7B316AFF">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缅甸</w:t>
            </w:r>
          </w:p>
        </w:tc>
        <w:tc>
          <w:tcPr>
            <w:tcW w:w="624" w:type="pct"/>
            <w:shd w:val="clear" w:color="auto" w:fill="auto"/>
            <w:vAlign w:val="center"/>
          </w:tcPr>
          <w:p w14:paraId="4DDE9CCB">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缅甸</w:t>
            </w:r>
          </w:p>
        </w:tc>
        <w:tc>
          <w:tcPr>
            <w:tcW w:w="1617" w:type="pct"/>
            <w:shd w:val="clear" w:color="auto" w:fill="auto"/>
            <w:vAlign w:val="center"/>
          </w:tcPr>
          <w:p w14:paraId="684B3D6C">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销售商品及提供劳务</w:t>
            </w:r>
          </w:p>
        </w:tc>
        <w:tc>
          <w:tcPr>
            <w:tcW w:w="507" w:type="pct"/>
            <w:shd w:val="clear" w:color="auto" w:fill="auto"/>
            <w:vAlign w:val="center"/>
          </w:tcPr>
          <w:p w14:paraId="467327DE">
            <w:pPr>
              <w:widowControl/>
              <w:spacing w:line="240" w:lineRule="auto"/>
              <w:ind w:firstLine="360" w:firstLineChars="0"/>
              <w:jc w:val="right"/>
              <w:rPr>
                <w:rFonts w:hint="default" w:ascii="Times New Roman" w:hAnsi="Times New Roman" w:cs="Times New Roman"/>
                <w:sz w:val="18"/>
                <w:szCs w:val="18"/>
              </w:rPr>
            </w:pPr>
          </w:p>
        </w:tc>
        <w:tc>
          <w:tcPr>
            <w:tcW w:w="519" w:type="pct"/>
            <w:shd w:val="clear" w:color="auto" w:fill="auto"/>
            <w:vAlign w:val="center"/>
          </w:tcPr>
          <w:p w14:paraId="41379450">
            <w:pPr>
              <w:widowControl/>
              <w:spacing w:line="240" w:lineRule="auto"/>
              <w:ind w:firstLine="0" w:firstLineChars="0"/>
              <w:jc w:val="right"/>
              <w:rPr>
                <w:rFonts w:hint="default" w:ascii="Times New Roman" w:hAnsi="Times New Roman" w:cs="Times New Roman"/>
                <w:sz w:val="18"/>
                <w:szCs w:val="18"/>
              </w:rPr>
            </w:pPr>
            <w:r>
              <w:rPr>
                <w:rFonts w:hint="default" w:ascii="Times New Roman" w:hAnsi="Times New Roman" w:cs="Times New Roman"/>
                <w:sz w:val="18"/>
                <w:szCs w:val="18"/>
              </w:rPr>
              <w:t>99.9997</w:t>
            </w:r>
          </w:p>
        </w:tc>
      </w:tr>
      <w:tr w14:paraId="239D49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14:paraId="1E1E494A">
            <w:pPr>
              <w:spacing w:line="240" w:lineRule="auto"/>
              <w:ind w:firstLine="0" w:firstLineChars="0"/>
              <w:jc w:val="left"/>
              <w:rPr>
                <w:rFonts w:ascii="Times New Roman" w:hAnsi="Times New Roman" w:cs="Times New Roman"/>
                <w:snapToGrid w:val="0"/>
                <w:kern w:val="0"/>
                <w:sz w:val="18"/>
                <w:szCs w:val="18"/>
              </w:rPr>
            </w:pPr>
            <w:r>
              <w:rPr>
                <w:rFonts w:ascii="Times New Roman" w:hAnsi="Times New Roman" w:cs="Times New Roman"/>
                <w:snapToGrid w:val="0"/>
                <w:kern w:val="0"/>
                <w:sz w:val="18"/>
                <w:szCs w:val="18"/>
              </w:rPr>
              <w:t>Dynamax K.K.</w:t>
            </w:r>
          </w:p>
        </w:tc>
        <w:tc>
          <w:tcPr>
            <w:tcW w:w="492" w:type="pct"/>
            <w:shd w:val="clear" w:color="auto" w:fill="auto"/>
            <w:vAlign w:val="center"/>
          </w:tcPr>
          <w:p w14:paraId="1E10D686">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日本</w:t>
            </w:r>
          </w:p>
        </w:tc>
        <w:tc>
          <w:tcPr>
            <w:tcW w:w="624" w:type="pct"/>
            <w:shd w:val="clear" w:color="auto" w:fill="auto"/>
            <w:vAlign w:val="center"/>
          </w:tcPr>
          <w:p w14:paraId="693E3190">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日本</w:t>
            </w:r>
          </w:p>
        </w:tc>
        <w:tc>
          <w:tcPr>
            <w:tcW w:w="1617" w:type="pct"/>
            <w:shd w:val="clear" w:color="auto" w:fill="auto"/>
            <w:vAlign w:val="center"/>
          </w:tcPr>
          <w:p w14:paraId="183A5C6F">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销售商品及提供劳务</w:t>
            </w:r>
          </w:p>
        </w:tc>
        <w:tc>
          <w:tcPr>
            <w:tcW w:w="507" w:type="pct"/>
            <w:shd w:val="clear" w:color="auto" w:fill="auto"/>
            <w:vAlign w:val="center"/>
          </w:tcPr>
          <w:p w14:paraId="19B6EEEF">
            <w:pPr>
              <w:widowControl/>
              <w:spacing w:line="240" w:lineRule="auto"/>
              <w:ind w:firstLine="360" w:firstLineChars="0"/>
              <w:jc w:val="right"/>
              <w:rPr>
                <w:rFonts w:hint="default" w:ascii="Times New Roman" w:hAnsi="Times New Roman" w:cs="Times New Roman"/>
                <w:sz w:val="18"/>
                <w:szCs w:val="18"/>
              </w:rPr>
            </w:pPr>
          </w:p>
        </w:tc>
        <w:tc>
          <w:tcPr>
            <w:tcW w:w="519" w:type="pct"/>
            <w:shd w:val="clear" w:color="auto" w:fill="auto"/>
            <w:vAlign w:val="center"/>
          </w:tcPr>
          <w:p w14:paraId="165D73E3">
            <w:pPr>
              <w:widowControl/>
              <w:spacing w:line="240" w:lineRule="auto"/>
              <w:ind w:firstLine="0" w:firstLineChars="0"/>
              <w:jc w:val="right"/>
              <w:rPr>
                <w:rFonts w:hint="default" w:ascii="Times New Roman" w:hAnsi="Times New Roman" w:cs="Times New Roman"/>
                <w:sz w:val="18"/>
                <w:szCs w:val="18"/>
              </w:rPr>
            </w:pPr>
            <w:r>
              <w:rPr>
                <w:rFonts w:hint="default" w:ascii="Times New Roman" w:hAnsi="Times New Roman" w:cs="Times New Roman"/>
                <w:sz w:val="18"/>
                <w:szCs w:val="18"/>
              </w:rPr>
              <w:t>100.00</w:t>
            </w:r>
          </w:p>
        </w:tc>
      </w:tr>
      <w:tr w14:paraId="589B5C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14:paraId="7E0E80FC">
            <w:pPr>
              <w:spacing w:line="240" w:lineRule="auto"/>
              <w:ind w:firstLine="0" w:firstLineChars="0"/>
              <w:jc w:val="left"/>
              <w:rPr>
                <w:rFonts w:ascii="Times New Roman" w:hAnsi="Times New Roman" w:cs="Times New Roman"/>
                <w:snapToGrid w:val="0"/>
                <w:kern w:val="0"/>
                <w:sz w:val="18"/>
                <w:szCs w:val="18"/>
              </w:rPr>
            </w:pPr>
            <w:r>
              <w:rPr>
                <w:rFonts w:hint="eastAsia" w:ascii="Times New Roman" w:hAnsi="Times New Roman" w:cs="Times New Roman"/>
                <w:snapToGrid w:val="0"/>
                <w:kern w:val="0"/>
                <w:sz w:val="18"/>
                <w:szCs w:val="18"/>
              </w:rPr>
              <w:t>华丰智能科技（江苏）有限公司</w:t>
            </w:r>
          </w:p>
        </w:tc>
        <w:tc>
          <w:tcPr>
            <w:tcW w:w="492" w:type="pct"/>
            <w:shd w:val="clear" w:color="auto" w:fill="auto"/>
            <w:vAlign w:val="center"/>
          </w:tcPr>
          <w:p w14:paraId="5B07BB2B">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常州市</w:t>
            </w:r>
          </w:p>
        </w:tc>
        <w:tc>
          <w:tcPr>
            <w:tcW w:w="624" w:type="pct"/>
            <w:shd w:val="clear" w:color="auto" w:fill="auto"/>
            <w:vAlign w:val="center"/>
          </w:tcPr>
          <w:p w14:paraId="087FC730">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常州市</w:t>
            </w:r>
          </w:p>
        </w:tc>
        <w:tc>
          <w:tcPr>
            <w:tcW w:w="1617" w:type="pct"/>
            <w:shd w:val="clear" w:color="auto" w:fill="auto"/>
            <w:vAlign w:val="center"/>
          </w:tcPr>
          <w:p w14:paraId="7E90249C">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汽车零部件的研发、</w:t>
            </w:r>
            <w:r>
              <w:rPr>
                <w:rFonts w:ascii="Arial Narrow" w:hAnsi="Arial Narrow" w:cs="Times New Roman"/>
                <w:sz w:val="18"/>
                <w:szCs w:val="18"/>
              </w:rPr>
              <w:t>制造与销售</w:t>
            </w:r>
          </w:p>
        </w:tc>
        <w:tc>
          <w:tcPr>
            <w:tcW w:w="507" w:type="pct"/>
            <w:shd w:val="clear" w:color="auto" w:fill="auto"/>
            <w:vAlign w:val="center"/>
          </w:tcPr>
          <w:p w14:paraId="7904DA88">
            <w:pPr>
              <w:widowControl/>
              <w:spacing w:line="240" w:lineRule="auto"/>
              <w:ind w:firstLine="0" w:firstLineChars="0"/>
              <w:jc w:val="right"/>
              <w:rPr>
                <w:rFonts w:hint="default" w:ascii="Times New Roman" w:hAnsi="Times New Roman" w:cs="Times New Roman"/>
                <w:sz w:val="18"/>
                <w:szCs w:val="18"/>
              </w:rPr>
            </w:pPr>
            <w:r>
              <w:rPr>
                <w:rFonts w:hint="default" w:ascii="Times New Roman" w:hAnsi="Times New Roman" w:cs="Times New Roman"/>
                <w:sz w:val="18"/>
                <w:szCs w:val="18"/>
              </w:rPr>
              <w:t>100.00</w:t>
            </w:r>
          </w:p>
        </w:tc>
        <w:tc>
          <w:tcPr>
            <w:tcW w:w="519" w:type="pct"/>
            <w:shd w:val="clear" w:color="auto" w:fill="auto"/>
            <w:vAlign w:val="center"/>
          </w:tcPr>
          <w:p w14:paraId="4D573480">
            <w:pPr>
              <w:widowControl/>
              <w:spacing w:line="240" w:lineRule="auto"/>
              <w:ind w:firstLine="360" w:firstLineChars="0"/>
              <w:jc w:val="right"/>
              <w:rPr>
                <w:rFonts w:hint="default" w:ascii="Times New Roman" w:hAnsi="Times New Roman" w:cs="Times New Roman"/>
                <w:sz w:val="18"/>
                <w:szCs w:val="18"/>
              </w:rPr>
            </w:pPr>
          </w:p>
        </w:tc>
      </w:tr>
      <w:tr w14:paraId="671F5E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14:paraId="4644808E">
            <w:pPr>
              <w:spacing w:line="240" w:lineRule="auto"/>
              <w:ind w:firstLine="0" w:firstLineChars="0"/>
              <w:jc w:val="left"/>
              <w:rPr>
                <w:rFonts w:ascii="Times New Roman" w:hAnsi="Times New Roman" w:cs="Times New Roman"/>
                <w:snapToGrid w:val="0"/>
                <w:kern w:val="0"/>
                <w:sz w:val="18"/>
                <w:szCs w:val="18"/>
              </w:rPr>
            </w:pPr>
            <w:r>
              <w:rPr>
                <w:rFonts w:hint="eastAsia" w:ascii="Times New Roman" w:hAnsi="Times New Roman" w:cs="Times New Roman"/>
                <w:snapToGrid w:val="0"/>
                <w:kern w:val="0"/>
                <w:sz w:val="18"/>
                <w:szCs w:val="18"/>
              </w:rPr>
              <w:t>华丰（江苏）机械制造有限公司</w:t>
            </w:r>
          </w:p>
        </w:tc>
        <w:tc>
          <w:tcPr>
            <w:tcW w:w="492" w:type="pct"/>
            <w:shd w:val="clear" w:color="auto" w:fill="auto"/>
            <w:vAlign w:val="center"/>
          </w:tcPr>
          <w:p w14:paraId="2A826C54">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常州市</w:t>
            </w:r>
          </w:p>
        </w:tc>
        <w:tc>
          <w:tcPr>
            <w:tcW w:w="624" w:type="pct"/>
            <w:shd w:val="clear" w:color="auto" w:fill="auto"/>
            <w:vAlign w:val="center"/>
          </w:tcPr>
          <w:p w14:paraId="64A57DE6">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常州市</w:t>
            </w:r>
          </w:p>
        </w:tc>
        <w:tc>
          <w:tcPr>
            <w:tcW w:w="1617" w:type="pct"/>
            <w:shd w:val="clear" w:color="auto" w:fill="auto"/>
            <w:vAlign w:val="center"/>
          </w:tcPr>
          <w:p w14:paraId="18F092A5">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汽车零部件及配件的</w:t>
            </w:r>
            <w:r>
              <w:rPr>
                <w:rFonts w:ascii="Arial Narrow" w:hAnsi="Arial Narrow" w:cs="Times New Roman"/>
                <w:sz w:val="18"/>
                <w:szCs w:val="18"/>
              </w:rPr>
              <w:t>研发、</w:t>
            </w:r>
            <w:r>
              <w:rPr>
                <w:rFonts w:hint="eastAsia" w:ascii="Arial Narrow" w:hAnsi="Arial Narrow" w:cs="Times New Roman"/>
                <w:sz w:val="18"/>
                <w:szCs w:val="18"/>
              </w:rPr>
              <w:t>制造与</w:t>
            </w:r>
            <w:r>
              <w:rPr>
                <w:rFonts w:ascii="Arial Narrow" w:hAnsi="Arial Narrow" w:cs="Times New Roman"/>
                <w:sz w:val="18"/>
                <w:szCs w:val="18"/>
              </w:rPr>
              <w:t>销售</w:t>
            </w:r>
          </w:p>
        </w:tc>
        <w:tc>
          <w:tcPr>
            <w:tcW w:w="507" w:type="pct"/>
            <w:shd w:val="clear" w:color="auto" w:fill="auto"/>
            <w:vAlign w:val="center"/>
          </w:tcPr>
          <w:p w14:paraId="30BA5E31">
            <w:pPr>
              <w:widowControl/>
              <w:spacing w:line="240" w:lineRule="auto"/>
              <w:ind w:firstLine="0" w:firstLineChars="0"/>
              <w:jc w:val="right"/>
              <w:rPr>
                <w:rFonts w:hint="default" w:ascii="Times New Roman" w:hAnsi="Times New Roman" w:cs="Times New Roman"/>
                <w:sz w:val="18"/>
                <w:szCs w:val="18"/>
              </w:rPr>
            </w:pPr>
            <w:r>
              <w:rPr>
                <w:rFonts w:hint="default" w:ascii="Times New Roman" w:hAnsi="Times New Roman" w:cs="Times New Roman"/>
                <w:sz w:val="18"/>
                <w:szCs w:val="18"/>
              </w:rPr>
              <w:t>100.00</w:t>
            </w:r>
          </w:p>
        </w:tc>
        <w:tc>
          <w:tcPr>
            <w:tcW w:w="519" w:type="pct"/>
            <w:shd w:val="clear" w:color="auto" w:fill="auto"/>
            <w:vAlign w:val="center"/>
          </w:tcPr>
          <w:p w14:paraId="714B44D8">
            <w:pPr>
              <w:widowControl/>
              <w:spacing w:line="240" w:lineRule="auto"/>
              <w:ind w:firstLine="360" w:firstLineChars="0"/>
              <w:jc w:val="right"/>
              <w:rPr>
                <w:rFonts w:hint="default" w:ascii="Times New Roman" w:hAnsi="Times New Roman" w:cs="Times New Roman"/>
                <w:sz w:val="18"/>
                <w:szCs w:val="18"/>
              </w:rPr>
            </w:pPr>
          </w:p>
        </w:tc>
      </w:tr>
      <w:tr w14:paraId="2DD8FB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14:paraId="2C38533D">
            <w:pPr>
              <w:spacing w:line="240" w:lineRule="auto"/>
              <w:ind w:firstLine="0" w:firstLineChars="0"/>
              <w:jc w:val="left"/>
              <w:rPr>
                <w:rFonts w:ascii="Times New Roman" w:hAnsi="Times New Roman" w:cs="Times New Roman"/>
                <w:snapToGrid w:val="0"/>
                <w:kern w:val="0"/>
                <w:sz w:val="18"/>
                <w:szCs w:val="18"/>
              </w:rPr>
            </w:pPr>
            <w:r>
              <w:rPr>
                <w:rFonts w:hint="eastAsia" w:ascii="Times New Roman" w:hAnsi="Times New Roman" w:cs="Times New Roman"/>
                <w:snapToGrid w:val="0"/>
                <w:kern w:val="0"/>
                <w:sz w:val="18"/>
                <w:szCs w:val="18"/>
              </w:rPr>
              <w:t>Power HF Singapore Pte. Ltd.</w:t>
            </w:r>
          </w:p>
        </w:tc>
        <w:tc>
          <w:tcPr>
            <w:tcW w:w="492" w:type="pct"/>
            <w:shd w:val="clear" w:color="auto" w:fill="auto"/>
            <w:vAlign w:val="center"/>
          </w:tcPr>
          <w:p w14:paraId="62E44627">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新加坡</w:t>
            </w:r>
          </w:p>
        </w:tc>
        <w:tc>
          <w:tcPr>
            <w:tcW w:w="624" w:type="pct"/>
            <w:shd w:val="clear" w:color="auto" w:fill="auto"/>
            <w:vAlign w:val="center"/>
          </w:tcPr>
          <w:p w14:paraId="5C84DE62">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新加坡</w:t>
            </w:r>
          </w:p>
        </w:tc>
        <w:tc>
          <w:tcPr>
            <w:tcW w:w="1617" w:type="pct"/>
            <w:shd w:val="clear" w:color="auto" w:fill="auto"/>
            <w:vAlign w:val="center"/>
          </w:tcPr>
          <w:p w14:paraId="0448FEA8">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投资与贸易</w:t>
            </w:r>
          </w:p>
        </w:tc>
        <w:tc>
          <w:tcPr>
            <w:tcW w:w="507" w:type="pct"/>
            <w:shd w:val="clear" w:color="auto" w:fill="auto"/>
            <w:vAlign w:val="center"/>
          </w:tcPr>
          <w:p w14:paraId="7A84CE2A">
            <w:pPr>
              <w:widowControl/>
              <w:spacing w:line="240" w:lineRule="auto"/>
              <w:ind w:firstLine="0" w:firstLineChars="0"/>
              <w:jc w:val="right"/>
              <w:rPr>
                <w:rFonts w:hint="default" w:ascii="Times New Roman" w:hAnsi="Times New Roman" w:cs="Times New Roman"/>
                <w:sz w:val="18"/>
                <w:szCs w:val="18"/>
              </w:rPr>
            </w:pPr>
            <w:r>
              <w:rPr>
                <w:rFonts w:hint="default" w:ascii="Times New Roman" w:hAnsi="Times New Roman" w:cs="Times New Roman"/>
                <w:sz w:val="18"/>
                <w:szCs w:val="18"/>
              </w:rPr>
              <w:t>100.00</w:t>
            </w:r>
          </w:p>
        </w:tc>
        <w:tc>
          <w:tcPr>
            <w:tcW w:w="519" w:type="pct"/>
            <w:shd w:val="clear" w:color="auto" w:fill="auto"/>
            <w:vAlign w:val="center"/>
          </w:tcPr>
          <w:p w14:paraId="3C567FF3">
            <w:pPr>
              <w:widowControl/>
              <w:spacing w:line="240" w:lineRule="auto"/>
              <w:ind w:firstLine="360" w:firstLineChars="0"/>
              <w:jc w:val="right"/>
              <w:rPr>
                <w:rFonts w:hint="default" w:ascii="Times New Roman" w:hAnsi="Times New Roman" w:cs="Times New Roman"/>
                <w:sz w:val="18"/>
                <w:szCs w:val="18"/>
              </w:rPr>
            </w:pPr>
          </w:p>
        </w:tc>
      </w:tr>
      <w:tr w14:paraId="0EBF1E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14:paraId="1D8DDFD4">
            <w:pPr>
              <w:spacing w:line="240" w:lineRule="auto"/>
              <w:ind w:firstLine="0" w:firstLineChars="0"/>
              <w:jc w:val="left"/>
              <w:rPr>
                <w:rFonts w:ascii="Times New Roman" w:hAnsi="Times New Roman" w:cs="Times New Roman"/>
                <w:snapToGrid w:val="0"/>
                <w:kern w:val="0"/>
                <w:sz w:val="18"/>
                <w:szCs w:val="18"/>
              </w:rPr>
            </w:pPr>
            <w:r>
              <w:rPr>
                <w:rFonts w:ascii="Times New Roman" w:hAnsi="Times New Roman" w:cs="Times New Roman"/>
                <w:snapToGrid w:val="0"/>
                <w:kern w:val="0"/>
                <w:sz w:val="18"/>
                <w:szCs w:val="18"/>
              </w:rPr>
              <w:t>POWER HF-FZCO</w:t>
            </w:r>
          </w:p>
        </w:tc>
        <w:tc>
          <w:tcPr>
            <w:tcW w:w="492" w:type="pct"/>
            <w:shd w:val="clear" w:color="auto" w:fill="auto"/>
            <w:vAlign w:val="center"/>
          </w:tcPr>
          <w:p w14:paraId="27995DCE">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迪拜</w:t>
            </w:r>
          </w:p>
        </w:tc>
        <w:tc>
          <w:tcPr>
            <w:tcW w:w="624" w:type="pct"/>
            <w:shd w:val="clear" w:color="auto" w:fill="auto"/>
            <w:vAlign w:val="center"/>
          </w:tcPr>
          <w:p w14:paraId="52D25102">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迪拜</w:t>
            </w:r>
          </w:p>
        </w:tc>
        <w:tc>
          <w:tcPr>
            <w:tcW w:w="1617" w:type="pct"/>
            <w:shd w:val="clear" w:color="auto" w:fill="auto"/>
            <w:vAlign w:val="center"/>
          </w:tcPr>
          <w:p w14:paraId="5901AC55">
            <w:pPr>
              <w:widowControl/>
              <w:spacing w:line="240" w:lineRule="auto"/>
              <w:ind w:firstLine="0" w:firstLineChars="0"/>
              <w:rPr>
                <w:rFonts w:hint="eastAsia" w:ascii="Arial Narrow" w:hAnsi="Arial Narrow" w:eastAsia="宋体" w:cs="Times New Roman"/>
                <w:sz w:val="18"/>
                <w:szCs w:val="18"/>
                <w:lang w:val="en-US" w:eastAsia="zh-CN"/>
              </w:rPr>
            </w:pPr>
            <w:r>
              <w:rPr>
                <w:rFonts w:hint="eastAsia" w:ascii="Arial Narrow" w:hAnsi="Arial Narrow" w:cs="Times New Roman"/>
                <w:sz w:val="18"/>
                <w:szCs w:val="18"/>
              </w:rPr>
              <w:t>贸易、设备安装与维护、设备租赁、设备和机械的修理与维</w:t>
            </w:r>
            <w:r>
              <w:rPr>
                <w:rFonts w:hint="eastAsia" w:ascii="Arial Narrow" w:hAnsi="Arial Narrow" w:cs="Times New Roman"/>
                <w:sz w:val="18"/>
                <w:szCs w:val="18"/>
                <w:lang w:val="en-US" w:eastAsia="zh-CN"/>
              </w:rPr>
              <w:t>护</w:t>
            </w:r>
          </w:p>
        </w:tc>
        <w:tc>
          <w:tcPr>
            <w:tcW w:w="507" w:type="pct"/>
            <w:shd w:val="clear" w:color="auto" w:fill="auto"/>
            <w:vAlign w:val="center"/>
          </w:tcPr>
          <w:p w14:paraId="231D84FA">
            <w:pPr>
              <w:widowControl/>
              <w:spacing w:line="240" w:lineRule="auto"/>
              <w:ind w:firstLine="0" w:firstLineChars="0"/>
              <w:jc w:val="right"/>
              <w:rPr>
                <w:rFonts w:hint="default" w:ascii="Times New Roman" w:hAnsi="Times New Roman" w:cs="Times New Roman"/>
                <w:sz w:val="18"/>
                <w:szCs w:val="18"/>
              </w:rPr>
            </w:pPr>
          </w:p>
        </w:tc>
        <w:tc>
          <w:tcPr>
            <w:tcW w:w="519" w:type="pct"/>
            <w:shd w:val="clear" w:color="auto" w:fill="auto"/>
            <w:vAlign w:val="center"/>
          </w:tcPr>
          <w:p w14:paraId="2EF310D9">
            <w:pPr>
              <w:widowControl/>
              <w:spacing w:line="240" w:lineRule="auto"/>
              <w:ind w:firstLine="0" w:firstLineChars="0"/>
              <w:jc w:val="right"/>
              <w:rPr>
                <w:rFonts w:hint="default" w:ascii="Times New Roman" w:hAnsi="Times New Roman" w:cs="Times New Roman"/>
                <w:sz w:val="18"/>
                <w:szCs w:val="18"/>
              </w:rPr>
            </w:pPr>
            <w:r>
              <w:rPr>
                <w:rFonts w:hint="default" w:ascii="Times New Roman" w:hAnsi="Times New Roman" w:cs="Times New Roman"/>
                <w:sz w:val="18"/>
                <w:szCs w:val="18"/>
              </w:rPr>
              <w:t>51.00</w:t>
            </w:r>
          </w:p>
        </w:tc>
      </w:tr>
      <w:tr w14:paraId="6BDB40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8" w:type="pct"/>
            <w:shd w:val="clear" w:color="auto" w:fill="auto"/>
            <w:vAlign w:val="center"/>
          </w:tcPr>
          <w:p w14:paraId="31E274A7">
            <w:pPr>
              <w:spacing w:line="240" w:lineRule="auto"/>
              <w:ind w:firstLine="0" w:firstLineChars="0"/>
              <w:jc w:val="left"/>
              <w:rPr>
                <w:rFonts w:ascii="Times New Roman" w:hAnsi="Times New Roman" w:cs="Times New Roman"/>
                <w:snapToGrid w:val="0"/>
                <w:kern w:val="0"/>
                <w:sz w:val="18"/>
                <w:szCs w:val="18"/>
              </w:rPr>
            </w:pPr>
            <w:r>
              <w:rPr>
                <w:rFonts w:ascii="Times New Roman" w:hAnsi="Times New Roman" w:cs="Times New Roman"/>
                <w:snapToGrid w:val="0"/>
                <w:kern w:val="0"/>
                <w:sz w:val="18"/>
                <w:szCs w:val="18"/>
              </w:rPr>
              <w:t>Power HF Philippines, Inc.</w:t>
            </w:r>
          </w:p>
        </w:tc>
        <w:tc>
          <w:tcPr>
            <w:tcW w:w="492" w:type="pct"/>
            <w:shd w:val="clear" w:color="auto" w:fill="auto"/>
            <w:vAlign w:val="center"/>
          </w:tcPr>
          <w:p w14:paraId="61D614D0">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菲律宾</w:t>
            </w:r>
          </w:p>
        </w:tc>
        <w:tc>
          <w:tcPr>
            <w:tcW w:w="624" w:type="pct"/>
            <w:shd w:val="clear" w:color="auto" w:fill="auto"/>
            <w:vAlign w:val="center"/>
          </w:tcPr>
          <w:p w14:paraId="39C90302">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菲律宾</w:t>
            </w:r>
          </w:p>
        </w:tc>
        <w:tc>
          <w:tcPr>
            <w:tcW w:w="1617" w:type="pct"/>
            <w:shd w:val="clear" w:color="auto" w:fill="auto"/>
            <w:vAlign w:val="center"/>
          </w:tcPr>
          <w:p w14:paraId="59D60342">
            <w:pPr>
              <w:widowControl/>
              <w:spacing w:line="240" w:lineRule="auto"/>
              <w:ind w:firstLine="0" w:firstLineChars="0"/>
              <w:rPr>
                <w:rFonts w:ascii="Arial Narrow" w:hAnsi="Arial Narrow" w:cs="Times New Roman"/>
                <w:sz w:val="18"/>
                <w:szCs w:val="18"/>
              </w:rPr>
            </w:pPr>
            <w:r>
              <w:rPr>
                <w:rFonts w:hint="eastAsia" w:ascii="Arial Narrow" w:hAnsi="Arial Narrow" w:cs="Times New Roman"/>
                <w:sz w:val="18"/>
                <w:szCs w:val="18"/>
              </w:rPr>
              <w:t>贸易、设备安装与维护、设备租赁、设备和机械的修理与维护</w:t>
            </w:r>
          </w:p>
        </w:tc>
        <w:tc>
          <w:tcPr>
            <w:tcW w:w="507" w:type="pct"/>
            <w:shd w:val="clear" w:color="auto" w:fill="auto"/>
            <w:vAlign w:val="center"/>
          </w:tcPr>
          <w:p w14:paraId="5DDF70AE">
            <w:pPr>
              <w:widowControl/>
              <w:spacing w:line="240" w:lineRule="auto"/>
              <w:ind w:firstLine="0" w:firstLineChars="0"/>
              <w:jc w:val="right"/>
              <w:rPr>
                <w:rFonts w:hint="default" w:ascii="Times New Roman" w:hAnsi="Times New Roman" w:cs="Times New Roman"/>
                <w:sz w:val="18"/>
                <w:szCs w:val="18"/>
              </w:rPr>
            </w:pPr>
          </w:p>
        </w:tc>
        <w:tc>
          <w:tcPr>
            <w:tcW w:w="519" w:type="pct"/>
            <w:shd w:val="clear" w:color="auto" w:fill="auto"/>
            <w:vAlign w:val="center"/>
          </w:tcPr>
          <w:p w14:paraId="5B2C0CFD">
            <w:pPr>
              <w:widowControl/>
              <w:spacing w:line="240" w:lineRule="auto"/>
              <w:ind w:firstLine="0" w:firstLineChars="0"/>
              <w:jc w:val="right"/>
              <w:rPr>
                <w:rFonts w:hint="default" w:ascii="Times New Roman" w:hAnsi="Times New Roman" w:cs="Times New Roman"/>
                <w:sz w:val="18"/>
                <w:szCs w:val="18"/>
              </w:rPr>
            </w:pPr>
            <w:r>
              <w:rPr>
                <w:rFonts w:hint="default" w:ascii="Times New Roman" w:hAnsi="Times New Roman" w:cs="Times New Roman"/>
                <w:sz w:val="18"/>
                <w:szCs w:val="18"/>
              </w:rPr>
              <w:t>99.9974</w:t>
            </w:r>
          </w:p>
        </w:tc>
      </w:tr>
    </w:tbl>
    <w:p w14:paraId="210BD54B">
      <w:pPr>
        <w:pStyle w:val="3"/>
        <w:ind w:firstLine="560"/>
        <w:rPr>
          <w:b/>
        </w:rPr>
      </w:pPr>
      <w:bookmarkStart w:id="3" w:name="_Toc1242"/>
      <w:r>
        <w:rPr>
          <w:rFonts w:hint="eastAsia"/>
        </w:rPr>
        <w:t>二、招标内容</w:t>
      </w:r>
      <w:bookmarkEnd w:id="3"/>
    </w:p>
    <w:p w14:paraId="4E35B18A">
      <w:r>
        <w:rPr>
          <w:rFonts w:hint="eastAsia"/>
        </w:rPr>
        <w:t>1、</w:t>
      </w:r>
      <w:r>
        <w:t>择优选择 1 家财务报表审计和内控审计</w:t>
      </w:r>
      <w:r>
        <w:rPr>
          <w:rFonts w:hint="eastAsia"/>
        </w:rPr>
        <w:t>（包含根据证监会监管要求出具的专项监管报表审计）</w:t>
      </w:r>
      <w:r>
        <w:t>机构</w:t>
      </w:r>
    </w:p>
    <w:p w14:paraId="59860958">
      <w:r>
        <w:rPr>
          <w:rFonts w:hint="eastAsia"/>
        </w:rPr>
        <w:t>2、</w:t>
      </w:r>
      <w:r>
        <w:t>服务期：2026年度</w:t>
      </w:r>
    </w:p>
    <w:p w14:paraId="23BBC872">
      <w:r>
        <w:t>2026年</w:t>
      </w:r>
      <w:r>
        <w:rPr>
          <w:rFonts w:hint="eastAsia"/>
          <w:lang w:val="en-US" w:eastAsia="zh-CN"/>
        </w:rPr>
        <w:t>度</w:t>
      </w:r>
      <w:r>
        <w:t>以后会计年度将视公司</w:t>
      </w:r>
      <w:r>
        <w:rPr>
          <w:rFonts w:hint="eastAsia"/>
        </w:rPr>
        <w:t>董事会</w:t>
      </w:r>
      <w:r>
        <w:t>审计委员会对上一年度审计机构的评价情况而定，公司</w:t>
      </w:r>
      <w:r>
        <w:rPr>
          <w:rFonts w:hint="eastAsia"/>
        </w:rPr>
        <w:t>董事会</w:t>
      </w:r>
      <w:r>
        <w:t>审计委员会达成肯定性意见的，可以提出续聘审计机构的建议，并在履行上市公司审批程序后进行续聘。</w:t>
      </w:r>
    </w:p>
    <w:p w14:paraId="37220089">
      <w:r>
        <w:rPr>
          <w:rFonts w:hint="eastAsia"/>
        </w:rPr>
        <w:t>3、工作要求</w:t>
      </w:r>
    </w:p>
    <w:p w14:paraId="0759682D">
      <w:r>
        <w:rPr>
          <w:rFonts w:hint="eastAsia"/>
        </w:rPr>
        <w:t>根据公司需求，对</w:t>
      </w:r>
      <w:r>
        <w:rPr>
          <w:rFonts w:hint="eastAsia"/>
          <w:lang w:val="en-US" w:eastAsia="zh-CN"/>
        </w:rPr>
        <w:t>合并报表范围</w:t>
      </w:r>
      <w:r>
        <w:rPr>
          <w:rFonts w:hint="eastAsia"/>
        </w:rPr>
        <w:t>内公司出具年度审计报告，进行年度内部控制审计并出具内部控制审计报告；对</w:t>
      </w:r>
      <w:r>
        <w:rPr>
          <w:rFonts w:hint="eastAsia"/>
          <w:lang w:val="en-US" w:eastAsia="zh-CN"/>
        </w:rPr>
        <w:t>合并报表范围</w:t>
      </w:r>
      <w:r>
        <w:rPr>
          <w:rFonts w:hint="eastAsia"/>
        </w:rPr>
        <w:t>内公司出具募集资金专项审计报告；对</w:t>
      </w:r>
      <w:r>
        <w:rPr>
          <w:rFonts w:hint="eastAsia"/>
          <w:lang w:val="en-US" w:eastAsia="zh-CN"/>
        </w:rPr>
        <w:t>合并报表范围</w:t>
      </w:r>
      <w:r>
        <w:rPr>
          <w:rFonts w:hint="eastAsia"/>
        </w:rPr>
        <w:t>内公司出具非经营性资金占用及其他关联资金往来情况的专项审计说明；协助公司完成定期报表审阅、配合监管问询、预审；为公司日常会计核算提供财务咨询服务及其他需要提供的服务。</w:t>
      </w:r>
      <w:bookmarkStart w:id="66" w:name="_GoBack"/>
      <w:bookmarkEnd w:id="66"/>
    </w:p>
    <w:p w14:paraId="5C5DD2B5">
      <w:pPr>
        <w:pStyle w:val="3"/>
        <w:ind w:firstLine="560"/>
        <w:rPr>
          <w:b/>
        </w:rPr>
      </w:pPr>
      <w:bookmarkStart w:id="4" w:name="_Toc24347"/>
      <w:r>
        <w:rPr>
          <w:rFonts w:hint="eastAsia"/>
        </w:rPr>
        <w:t>三、</w:t>
      </w:r>
      <w:r>
        <w:rPr>
          <w:rFonts w:hint="eastAsia"/>
          <w:lang w:val="en-US" w:eastAsia="zh-CN"/>
        </w:rPr>
        <w:t>选聘</w:t>
      </w:r>
      <w:r>
        <w:rPr>
          <w:rFonts w:hint="eastAsia"/>
        </w:rPr>
        <w:t>方式及要求</w:t>
      </w:r>
      <w:bookmarkEnd w:id="4"/>
    </w:p>
    <w:p w14:paraId="66D0D3E5">
      <w:r>
        <w:rPr>
          <w:rFonts w:hint="eastAsia"/>
        </w:rPr>
        <w:t>1、本次选聘采取公开招标方式。凡具备本公告规定资质条件的会计师事务所，均可自愿参与投标。</w:t>
      </w:r>
    </w:p>
    <w:p w14:paraId="5048BB4D">
      <w:r>
        <w:t>2、参加此次投标的单位如对本项目有需要答疑的问题，须于投标截止期前</w:t>
      </w:r>
      <w:r>
        <w:rPr>
          <w:rFonts w:hint="eastAsia"/>
        </w:rPr>
        <w:t>2</w:t>
      </w:r>
      <w:r>
        <w:t xml:space="preserve"> 天</w:t>
      </w:r>
      <w:r>
        <w:rPr>
          <w:rFonts w:hint="eastAsia"/>
        </w:rPr>
        <w:t>内</w:t>
      </w:r>
      <w:r>
        <w:t>以</w:t>
      </w:r>
      <w:r>
        <w:rPr>
          <w:rFonts w:hint="eastAsia"/>
        </w:rPr>
        <w:t>邮件</w:t>
      </w:r>
      <w:r>
        <w:t>的形式发送至hfstock@powerhf.com，</w:t>
      </w:r>
      <w:r>
        <w:rPr>
          <w:rFonts w:hint="eastAsia"/>
          <w:lang w:val="en-US" w:eastAsia="zh-CN"/>
        </w:rPr>
        <w:t>曹庆庆</w:t>
      </w:r>
      <w:r>
        <w:t>收，并电话通知收件人，招标人将汇总所有投标人的问题，及时组织回复。任何晚于上述时间需答疑的问题，招标人将不再解答。</w:t>
      </w:r>
    </w:p>
    <w:p w14:paraId="79581AB5">
      <w:pPr>
        <w:pStyle w:val="3"/>
        <w:ind w:firstLine="560"/>
        <w:rPr>
          <w:rFonts w:hint="eastAsia"/>
          <w:lang w:val="en-US" w:eastAsia="zh-CN"/>
        </w:rPr>
      </w:pPr>
      <w:bookmarkStart w:id="5" w:name="_Toc21294"/>
      <w:r>
        <w:rPr>
          <w:rFonts w:hint="eastAsia"/>
          <w:lang w:val="en-US" w:eastAsia="zh-CN"/>
        </w:rPr>
        <w:t>四、招标文件的获取及信息发布</w:t>
      </w:r>
      <w:bookmarkEnd w:id="5"/>
    </w:p>
    <w:p w14:paraId="08C4DBCF">
      <w:pPr>
        <w:rPr>
          <w:rFonts w:hint="default"/>
          <w:lang w:val="en-US" w:eastAsia="zh-CN"/>
        </w:rPr>
      </w:pPr>
      <w:r>
        <w:rPr>
          <w:rFonts w:hint="default"/>
          <w:lang w:val="en-US" w:eastAsia="zh-CN"/>
        </w:rPr>
        <w:t>4.</w:t>
      </w:r>
      <w:r>
        <w:rPr>
          <w:rFonts w:hint="eastAsia"/>
          <w:lang w:val="en-US" w:eastAsia="zh-CN"/>
        </w:rPr>
        <w:t>1</w:t>
      </w:r>
      <w:r>
        <w:rPr>
          <w:rFonts w:hint="default"/>
          <w:lang w:val="en-US" w:eastAsia="zh-CN"/>
        </w:rPr>
        <w:t xml:space="preserve"> </w:t>
      </w:r>
      <w:r>
        <w:rPr>
          <w:rFonts w:hint="eastAsia"/>
          <w:lang w:val="en-US" w:eastAsia="zh-CN"/>
        </w:rPr>
        <w:t>信息发布媒介及</w:t>
      </w:r>
      <w:r>
        <w:rPr>
          <w:rFonts w:hint="default"/>
          <w:lang w:val="en-US" w:eastAsia="zh-CN"/>
        </w:rPr>
        <w:t>招标文件的获取</w:t>
      </w:r>
    </w:p>
    <w:p w14:paraId="73B7FD64">
      <w:pPr>
        <w:rPr>
          <w:rFonts w:hint="default"/>
          <w:lang w:val="en-US" w:eastAsia="zh-CN"/>
        </w:rPr>
      </w:pPr>
      <w:r>
        <w:rPr>
          <w:rFonts w:hint="default"/>
          <w:lang w:val="en-US" w:eastAsia="zh-CN"/>
        </w:rPr>
        <w:t>本项目招标公告、招标文件、澄清修改及中标结果等所有相关信息</w:t>
      </w:r>
      <w:r>
        <w:rPr>
          <w:rFonts w:hint="eastAsia"/>
          <w:lang w:val="en-US" w:eastAsia="zh-CN"/>
        </w:rPr>
        <w:t>，</w:t>
      </w:r>
      <w:r>
        <w:rPr>
          <w:rFonts w:hint="default"/>
          <w:lang w:val="en-US" w:eastAsia="zh-CN"/>
        </w:rPr>
        <w:t>通过</w:t>
      </w:r>
      <w:r>
        <w:rPr>
          <w:rFonts w:hint="eastAsia"/>
          <w:lang w:val="en-US" w:eastAsia="zh-CN"/>
        </w:rPr>
        <w:t>公司</w:t>
      </w:r>
      <w:r>
        <w:rPr>
          <w:rFonts w:hint="default"/>
          <w:lang w:val="en-US" w:eastAsia="zh-CN"/>
        </w:rPr>
        <w:t>官方网站（www.powerhf.com）</w:t>
      </w:r>
      <w:r>
        <w:rPr>
          <w:rFonts w:hint="eastAsia"/>
          <w:lang w:val="en-US" w:eastAsia="zh-CN"/>
        </w:rPr>
        <w:t>“采购招标”栏目及公司官方微信公众号“华丰股份”</w:t>
      </w:r>
      <w:r>
        <w:rPr>
          <w:rFonts w:hint="default"/>
          <w:lang w:val="en-US" w:eastAsia="zh-CN"/>
        </w:rPr>
        <w:t>公开发布。请潜在投标人自行登录官网</w:t>
      </w:r>
      <w:r>
        <w:rPr>
          <w:rFonts w:hint="eastAsia"/>
          <w:lang w:val="en-US" w:eastAsia="zh-CN"/>
        </w:rPr>
        <w:t>或关注公司官方微信公众号</w:t>
      </w:r>
      <w:r>
        <w:rPr>
          <w:rFonts w:hint="default"/>
          <w:lang w:val="en-US" w:eastAsia="zh-CN"/>
        </w:rPr>
        <w:t>查阅并下载招标文件及相关附件，招标人不再另行提供纸质版招标文件。潜在投标人下载招标文件即视为已完全理解并接受招标文件的全部内容。</w:t>
      </w:r>
    </w:p>
    <w:p w14:paraId="5C9FFC01">
      <w:pPr>
        <w:rPr>
          <w:rFonts w:hint="default"/>
          <w:lang w:val="en-US" w:eastAsia="zh-CN"/>
        </w:rPr>
      </w:pPr>
      <w:r>
        <w:rPr>
          <w:rFonts w:hint="default"/>
          <w:lang w:val="en-US" w:eastAsia="zh-CN"/>
        </w:rPr>
        <w:t>招标人未授权任何其他第三方网站、平台或中介机构发布本项目信息或代收任何费用。请各潜在投标人提高警惕，谨防诈骗。因轻信非官方渠道信息，或未通过上述官方指定渠道获取招标文件及相关公告而导致的任何损失及后果，招标人不承担任何责任。</w:t>
      </w:r>
    </w:p>
    <w:p w14:paraId="46F346D4">
      <w:pPr>
        <w:pStyle w:val="3"/>
        <w:ind w:firstLine="560"/>
        <w:rPr>
          <w:b/>
        </w:rPr>
      </w:pPr>
      <w:bookmarkStart w:id="6" w:name="_Toc12003"/>
      <w:r>
        <w:rPr>
          <w:rFonts w:hint="eastAsia"/>
          <w:lang w:val="en-US" w:eastAsia="zh-CN"/>
        </w:rPr>
        <w:t>五</w:t>
      </w:r>
      <w:r>
        <w:rPr>
          <w:rFonts w:hint="eastAsia"/>
        </w:rPr>
        <w:t>、投标书递交截止时间及地址</w:t>
      </w:r>
      <w:bookmarkEnd w:id="6"/>
    </w:p>
    <w:p w14:paraId="1F454D33">
      <w:r>
        <w:t>2026年6月30日12</w:t>
      </w:r>
      <w:r>
        <w:rPr>
          <w:rFonts w:hint="eastAsia"/>
          <w:lang w:val="en-US" w:eastAsia="zh-CN"/>
        </w:rPr>
        <w:t>:</w:t>
      </w:r>
      <w:r>
        <w:t>00时止（北京时间）。逾期递交或不符合规定的投标书恕不接受。</w:t>
      </w:r>
    </w:p>
    <w:p w14:paraId="46ECD416">
      <w:r>
        <w:rPr>
          <w:rFonts w:hint="eastAsia"/>
        </w:rPr>
        <w:t>接收投标书地点：潍坊市高新区樱前街7</w:t>
      </w:r>
      <w:r>
        <w:t>879</w:t>
      </w:r>
      <w:r>
        <w:rPr>
          <w:rFonts w:hint="eastAsia"/>
        </w:rPr>
        <w:t>号</w:t>
      </w:r>
      <w:r>
        <w:t>，邮编 261041。</w:t>
      </w:r>
    </w:p>
    <w:p w14:paraId="0FA1355D">
      <w:pPr>
        <w:pStyle w:val="3"/>
        <w:ind w:firstLine="560"/>
      </w:pPr>
      <w:bookmarkStart w:id="7" w:name="_Toc29348"/>
      <w:r>
        <w:rPr>
          <w:rFonts w:hint="eastAsia"/>
          <w:lang w:val="en-US" w:eastAsia="zh-CN"/>
        </w:rPr>
        <w:t>六</w:t>
      </w:r>
      <w:r>
        <w:rPr>
          <w:rFonts w:hint="eastAsia"/>
        </w:rPr>
        <w:t>、开标时间及地址</w:t>
      </w:r>
      <w:bookmarkEnd w:id="7"/>
    </w:p>
    <w:p w14:paraId="464FEDE7">
      <w:r>
        <w:rPr>
          <w:rFonts w:hint="eastAsia"/>
        </w:rPr>
        <w:t>开标时间：</w:t>
      </w:r>
      <w:r>
        <w:t>2026年6月30日15:00时（北京时间）在下述开标地址开标。</w:t>
      </w:r>
    </w:p>
    <w:p w14:paraId="37CC6C95">
      <w:r>
        <w:rPr>
          <w:rFonts w:hint="eastAsia"/>
        </w:rPr>
        <w:t>开标地点：潍坊市高新区樱前街7</w:t>
      </w:r>
      <w:r>
        <w:t>879</w:t>
      </w:r>
      <w:r>
        <w:rPr>
          <w:rFonts w:hint="eastAsia"/>
        </w:rPr>
        <w:t>号华丰股份</w:t>
      </w:r>
      <w:r>
        <w:t>会议室。</w:t>
      </w:r>
    </w:p>
    <w:p w14:paraId="4451D867">
      <w:pPr>
        <w:pStyle w:val="3"/>
        <w:ind w:firstLine="560"/>
        <w:rPr>
          <w:b/>
        </w:rPr>
      </w:pPr>
      <w:bookmarkStart w:id="8" w:name="_Toc26291"/>
      <w:r>
        <w:rPr>
          <w:rFonts w:hint="eastAsia"/>
          <w:lang w:val="en-US" w:eastAsia="zh-CN"/>
        </w:rPr>
        <w:t>七</w:t>
      </w:r>
      <w:r>
        <w:rPr>
          <w:rFonts w:hint="eastAsia"/>
        </w:rPr>
        <w:t>、招标单位及联系方式</w:t>
      </w:r>
      <w:bookmarkEnd w:id="8"/>
    </w:p>
    <w:p w14:paraId="3E8CCC4D">
      <w:r>
        <w:rPr>
          <w:rFonts w:hint="eastAsia"/>
        </w:rPr>
        <w:t>招标单位：</w:t>
      </w:r>
      <w:r>
        <w:t>华丰动力股份有限公司</w:t>
      </w:r>
    </w:p>
    <w:p w14:paraId="02EB80C6">
      <w:r>
        <w:rPr>
          <w:rFonts w:hint="eastAsia"/>
        </w:rPr>
        <w:t>地</w:t>
      </w:r>
      <w:r>
        <w:tab/>
      </w:r>
      <w:r>
        <w:t xml:space="preserve">   址：</w:t>
      </w:r>
      <w:r>
        <w:rPr>
          <w:rFonts w:hint="eastAsia"/>
        </w:rPr>
        <w:t>潍坊市高新区樱前街7</w:t>
      </w:r>
      <w:r>
        <w:t>879</w:t>
      </w:r>
      <w:r>
        <w:rPr>
          <w:rFonts w:hint="eastAsia"/>
        </w:rPr>
        <w:t>号</w:t>
      </w:r>
    </w:p>
    <w:p w14:paraId="7A659726">
      <w:r>
        <w:rPr>
          <w:rFonts w:hint="eastAsia"/>
        </w:rPr>
        <w:t>联 系 人：</w:t>
      </w:r>
      <w:r>
        <w:rPr>
          <w:rFonts w:hint="eastAsia"/>
          <w:lang w:val="en-US" w:eastAsia="zh-CN"/>
        </w:rPr>
        <w:t>曹庆庆</w:t>
      </w:r>
      <w:r>
        <w:t xml:space="preserve">           电子邮箱：hfstock@powerhf.com</w:t>
      </w:r>
    </w:p>
    <w:p w14:paraId="6BEB7F19">
      <w:pPr>
        <w:rPr>
          <w:rFonts w:hint="eastAsia"/>
          <w:lang w:val="en-US" w:eastAsia="zh-CN"/>
        </w:rPr>
      </w:pPr>
      <w:r>
        <w:rPr>
          <w:rFonts w:hint="eastAsia"/>
        </w:rPr>
        <w:t>电</w:t>
      </w:r>
      <w:r>
        <w:tab/>
      </w:r>
      <w:r>
        <w:t xml:space="preserve">   话：0536-5607621</w:t>
      </w:r>
      <w:r>
        <w:rPr>
          <w:rFonts w:hint="eastAsia"/>
          <w:lang w:val="en-US" w:eastAsia="zh-CN"/>
        </w:rPr>
        <w:t>/18863621771</w:t>
      </w:r>
      <w:r>
        <w:t xml:space="preserve">   </w:t>
      </w:r>
      <w:r>
        <w:rPr>
          <w:rFonts w:hint="eastAsia"/>
          <w:lang w:val="en-US" w:eastAsia="zh-CN"/>
        </w:rPr>
        <w:t xml:space="preserve">  </w:t>
      </w:r>
    </w:p>
    <w:p w14:paraId="2D3F0CC0">
      <w:pPr>
        <w:rPr>
          <w:rFonts w:hint="eastAsia" w:eastAsia="宋体"/>
          <w:lang w:eastAsia="zh-CN"/>
        </w:rPr>
      </w:pPr>
      <w:r>
        <w:t xml:space="preserve">传  </w:t>
      </w:r>
      <w:r>
        <w:rPr>
          <w:rFonts w:hint="eastAsia"/>
          <w:lang w:val="en-US" w:eastAsia="zh-CN"/>
        </w:rPr>
        <w:t xml:space="preserve">  </w:t>
      </w:r>
      <w:r>
        <w:t xml:space="preserve">真：0536-8192711 </w:t>
      </w:r>
    </w:p>
    <w:p w14:paraId="445AE8DC">
      <w:r>
        <w:br w:type="page"/>
      </w:r>
    </w:p>
    <w:p w14:paraId="74478D0A">
      <w:pPr>
        <w:pStyle w:val="2"/>
        <w:ind w:firstLine="0" w:firstLineChars="0"/>
      </w:pPr>
      <w:bookmarkStart w:id="9" w:name="_Toc16584"/>
      <w:r>
        <w:rPr>
          <w:rFonts w:hint="eastAsia"/>
        </w:rPr>
        <w:t>第二部分</w:t>
      </w:r>
      <w:r>
        <w:t xml:space="preserve"> 投标人须知</w:t>
      </w:r>
      <w:bookmarkEnd w:id="9"/>
    </w:p>
    <w:p w14:paraId="2ECD8B62">
      <w:pPr>
        <w:pStyle w:val="4"/>
        <w:ind w:firstLine="0" w:firstLineChars="0"/>
      </w:pPr>
      <w:bookmarkStart w:id="10" w:name="_Toc29490"/>
      <w:r>
        <w:rPr>
          <w:rFonts w:hint="eastAsia"/>
        </w:rPr>
        <w:t>投标人须知前附表</w:t>
      </w:r>
      <w:bookmarkEnd w:id="10"/>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7433"/>
      </w:tblGrid>
      <w:tr w14:paraId="4436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pct"/>
            <w:tcBorders>
              <w:top w:val="single" w:color="auto" w:sz="6" w:space="0"/>
              <w:left w:val="single" w:color="auto" w:sz="6" w:space="0"/>
              <w:bottom w:val="single" w:color="auto" w:sz="6" w:space="0"/>
              <w:right w:val="single" w:color="auto" w:sz="6" w:space="0"/>
            </w:tcBorders>
          </w:tcPr>
          <w:p w14:paraId="607EC1F5">
            <w:pPr>
              <w:spacing w:line="240" w:lineRule="auto"/>
              <w:ind w:firstLine="0" w:firstLineChars="0"/>
              <w:jc w:val="center"/>
              <w:rPr>
                <w:sz w:val="21"/>
              </w:rPr>
            </w:pPr>
            <w:r>
              <w:rPr>
                <w:rFonts w:hint="eastAsia"/>
                <w:sz w:val="21"/>
              </w:rPr>
              <w:t>序号</w:t>
            </w:r>
          </w:p>
        </w:tc>
        <w:tc>
          <w:tcPr>
            <w:tcW w:w="4358" w:type="pct"/>
            <w:tcBorders>
              <w:top w:val="single" w:color="auto" w:sz="6" w:space="0"/>
              <w:left w:val="single" w:color="auto" w:sz="6" w:space="0"/>
              <w:bottom w:val="single" w:color="auto" w:sz="6" w:space="0"/>
              <w:right w:val="single" w:color="auto" w:sz="6" w:space="0"/>
            </w:tcBorders>
            <w:shd w:val="clear" w:color="auto" w:fill="auto"/>
          </w:tcPr>
          <w:p w14:paraId="72637411">
            <w:pPr>
              <w:spacing w:line="240" w:lineRule="auto"/>
              <w:ind w:firstLine="0" w:firstLineChars="0"/>
              <w:jc w:val="center"/>
              <w:rPr>
                <w:sz w:val="21"/>
              </w:rPr>
            </w:pPr>
            <w:r>
              <w:rPr>
                <w:sz w:val="21"/>
              </w:rPr>
              <w:t>内    容</w:t>
            </w:r>
          </w:p>
        </w:tc>
      </w:tr>
      <w:tr w14:paraId="36D4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pct"/>
            <w:tcBorders>
              <w:top w:val="single" w:color="auto" w:sz="6" w:space="0"/>
              <w:left w:val="single" w:color="auto" w:sz="6" w:space="0"/>
              <w:bottom w:val="single" w:color="auto" w:sz="6" w:space="0"/>
              <w:right w:val="single" w:color="auto" w:sz="6" w:space="0"/>
            </w:tcBorders>
          </w:tcPr>
          <w:p w14:paraId="2AB3793A">
            <w:pPr>
              <w:spacing w:line="240" w:lineRule="auto"/>
              <w:ind w:firstLine="0" w:firstLineChars="0"/>
              <w:jc w:val="center"/>
              <w:rPr>
                <w:sz w:val="21"/>
              </w:rPr>
            </w:pPr>
            <w:r>
              <w:rPr>
                <w:sz w:val="21"/>
              </w:rPr>
              <w:t>1</w:t>
            </w:r>
          </w:p>
        </w:tc>
        <w:tc>
          <w:tcPr>
            <w:tcW w:w="4358" w:type="pct"/>
            <w:tcBorders>
              <w:top w:val="single" w:color="auto" w:sz="6" w:space="0"/>
              <w:left w:val="single" w:color="auto" w:sz="6" w:space="0"/>
              <w:bottom w:val="single" w:color="auto" w:sz="6" w:space="0"/>
              <w:right w:val="single" w:color="auto" w:sz="6" w:space="0"/>
            </w:tcBorders>
            <w:shd w:val="clear" w:color="auto" w:fill="auto"/>
          </w:tcPr>
          <w:p w14:paraId="2BC0F213">
            <w:pPr>
              <w:spacing w:line="240" w:lineRule="auto"/>
              <w:ind w:firstLine="0" w:firstLineChars="0"/>
              <w:rPr>
                <w:sz w:val="21"/>
              </w:rPr>
            </w:pPr>
            <w:r>
              <w:rPr>
                <w:sz w:val="21"/>
              </w:rPr>
              <w:t>项目名称：</w:t>
            </w:r>
            <w:r>
              <w:rPr>
                <w:rFonts w:hint="eastAsia"/>
                <w:sz w:val="21"/>
              </w:rPr>
              <w:t>202</w:t>
            </w:r>
            <w:r>
              <w:rPr>
                <w:sz w:val="21"/>
              </w:rPr>
              <w:t>6</w:t>
            </w:r>
            <w:r>
              <w:rPr>
                <w:rFonts w:hint="eastAsia"/>
                <w:sz w:val="21"/>
              </w:rPr>
              <w:t>年度财务报表及内部控制审计服务</w:t>
            </w:r>
          </w:p>
        </w:tc>
      </w:tr>
      <w:tr w14:paraId="5596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pct"/>
            <w:tcBorders>
              <w:top w:val="single" w:color="auto" w:sz="6" w:space="0"/>
              <w:left w:val="single" w:color="auto" w:sz="6" w:space="0"/>
              <w:bottom w:val="single" w:color="auto" w:sz="6" w:space="0"/>
              <w:right w:val="single" w:color="auto" w:sz="6" w:space="0"/>
            </w:tcBorders>
          </w:tcPr>
          <w:p w14:paraId="7A412474">
            <w:pPr>
              <w:spacing w:line="240" w:lineRule="auto"/>
              <w:ind w:firstLine="0" w:firstLineChars="0"/>
              <w:jc w:val="center"/>
              <w:rPr>
                <w:sz w:val="21"/>
              </w:rPr>
            </w:pPr>
            <w:r>
              <w:rPr>
                <w:sz w:val="21"/>
              </w:rPr>
              <w:t>2</w:t>
            </w:r>
          </w:p>
        </w:tc>
        <w:tc>
          <w:tcPr>
            <w:tcW w:w="4358" w:type="pct"/>
            <w:tcBorders>
              <w:top w:val="single" w:color="auto" w:sz="6" w:space="0"/>
              <w:left w:val="single" w:color="auto" w:sz="6" w:space="0"/>
              <w:bottom w:val="single" w:color="auto" w:sz="6" w:space="0"/>
              <w:right w:val="single" w:color="auto" w:sz="6" w:space="0"/>
            </w:tcBorders>
            <w:shd w:val="clear" w:color="auto" w:fill="auto"/>
          </w:tcPr>
          <w:p w14:paraId="0F30A62C">
            <w:pPr>
              <w:spacing w:line="240" w:lineRule="auto"/>
              <w:ind w:firstLine="0" w:firstLineChars="0"/>
              <w:rPr>
                <w:sz w:val="21"/>
              </w:rPr>
            </w:pPr>
            <w:r>
              <w:rPr>
                <w:sz w:val="21"/>
              </w:rPr>
              <w:t>招标人名称：华丰动力股份有限公司</w:t>
            </w:r>
          </w:p>
          <w:p w14:paraId="592CCD12">
            <w:pPr>
              <w:spacing w:line="240" w:lineRule="auto"/>
              <w:ind w:firstLine="0" w:firstLineChars="0"/>
              <w:rPr>
                <w:sz w:val="21"/>
              </w:rPr>
            </w:pPr>
            <w:r>
              <w:rPr>
                <w:sz w:val="21"/>
              </w:rPr>
              <w:t>招标人地址：</w:t>
            </w:r>
            <w:r>
              <w:rPr>
                <w:rFonts w:hint="eastAsia"/>
                <w:sz w:val="21"/>
                <w:szCs w:val="21"/>
              </w:rPr>
              <w:t>潍坊市高新区樱前街7</w:t>
            </w:r>
            <w:r>
              <w:rPr>
                <w:sz w:val="21"/>
                <w:szCs w:val="21"/>
              </w:rPr>
              <w:t>879</w:t>
            </w:r>
            <w:r>
              <w:rPr>
                <w:rFonts w:hint="eastAsia"/>
                <w:sz w:val="21"/>
                <w:szCs w:val="21"/>
              </w:rPr>
              <w:t>号</w:t>
            </w:r>
          </w:p>
        </w:tc>
      </w:tr>
      <w:tr w14:paraId="5B7E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pct"/>
            <w:tcBorders>
              <w:top w:val="single" w:color="auto" w:sz="6" w:space="0"/>
              <w:left w:val="single" w:color="auto" w:sz="6" w:space="0"/>
              <w:bottom w:val="single" w:color="auto" w:sz="6" w:space="0"/>
              <w:right w:val="single" w:color="auto" w:sz="6" w:space="0"/>
            </w:tcBorders>
          </w:tcPr>
          <w:p w14:paraId="6345FF65">
            <w:pPr>
              <w:spacing w:line="240" w:lineRule="auto"/>
              <w:ind w:firstLine="0" w:firstLineChars="0"/>
              <w:jc w:val="center"/>
              <w:rPr>
                <w:sz w:val="21"/>
              </w:rPr>
            </w:pPr>
            <w:r>
              <w:rPr>
                <w:sz w:val="21"/>
              </w:rPr>
              <w:t>3</w:t>
            </w:r>
          </w:p>
        </w:tc>
        <w:tc>
          <w:tcPr>
            <w:tcW w:w="4358" w:type="pct"/>
            <w:tcBorders>
              <w:top w:val="single" w:color="auto" w:sz="6" w:space="0"/>
              <w:left w:val="single" w:color="auto" w:sz="6" w:space="0"/>
              <w:bottom w:val="single" w:color="auto" w:sz="6" w:space="0"/>
              <w:right w:val="single" w:color="auto" w:sz="6" w:space="0"/>
            </w:tcBorders>
            <w:shd w:val="clear" w:color="auto" w:fill="auto"/>
          </w:tcPr>
          <w:p w14:paraId="2E316BF5">
            <w:pPr>
              <w:spacing w:line="240" w:lineRule="auto"/>
              <w:ind w:firstLine="0" w:firstLineChars="0"/>
              <w:rPr>
                <w:sz w:val="21"/>
              </w:rPr>
            </w:pPr>
            <w:r>
              <w:rPr>
                <w:sz w:val="21"/>
              </w:rPr>
              <w:t>投标书正本份数：1 份 副本份数：</w:t>
            </w:r>
            <w:r>
              <w:rPr>
                <w:rFonts w:hint="eastAsia"/>
                <w:sz w:val="21"/>
                <w:lang w:val="en-US" w:eastAsia="zh-CN"/>
              </w:rPr>
              <w:t>1</w:t>
            </w:r>
            <w:r>
              <w:rPr>
                <w:sz w:val="21"/>
              </w:rPr>
              <w:t xml:space="preserve">  份</w:t>
            </w:r>
          </w:p>
        </w:tc>
      </w:tr>
      <w:tr w14:paraId="1820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pct"/>
            <w:tcBorders>
              <w:top w:val="single" w:color="auto" w:sz="6" w:space="0"/>
              <w:left w:val="single" w:color="auto" w:sz="6" w:space="0"/>
              <w:bottom w:val="single" w:color="auto" w:sz="6" w:space="0"/>
              <w:right w:val="single" w:color="auto" w:sz="6" w:space="0"/>
            </w:tcBorders>
          </w:tcPr>
          <w:p w14:paraId="25B40B31">
            <w:pPr>
              <w:spacing w:line="240" w:lineRule="auto"/>
              <w:ind w:firstLine="0" w:firstLineChars="0"/>
              <w:jc w:val="center"/>
              <w:rPr>
                <w:sz w:val="21"/>
              </w:rPr>
            </w:pPr>
            <w:r>
              <w:rPr>
                <w:sz w:val="21"/>
              </w:rPr>
              <w:t>4</w:t>
            </w:r>
          </w:p>
        </w:tc>
        <w:tc>
          <w:tcPr>
            <w:tcW w:w="4358" w:type="pct"/>
            <w:tcBorders>
              <w:top w:val="single" w:color="auto" w:sz="6" w:space="0"/>
              <w:left w:val="single" w:color="auto" w:sz="6" w:space="0"/>
              <w:bottom w:val="single" w:color="auto" w:sz="6" w:space="0"/>
              <w:right w:val="single" w:color="auto" w:sz="6" w:space="0"/>
            </w:tcBorders>
            <w:shd w:val="clear" w:color="auto" w:fill="auto"/>
          </w:tcPr>
          <w:p w14:paraId="3B62FBE5">
            <w:pPr>
              <w:spacing w:line="240" w:lineRule="auto"/>
              <w:ind w:firstLine="0" w:firstLineChars="0"/>
              <w:rPr>
                <w:sz w:val="21"/>
              </w:rPr>
            </w:pPr>
            <w:r>
              <w:rPr>
                <w:sz w:val="21"/>
              </w:rPr>
              <w:t>投标书递交截止时间：2026年6月30日12：00 时止（北京时间）</w:t>
            </w:r>
          </w:p>
          <w:p w14:paraId="72D63C8A">
            <w:pPr>
              <w:spacing w:line="240" w:lineRule="auto"/>
              <w:ind w:firstLine="0" w:firstLineChars="0"/>
              <w:rPr>
                <w:sz w:val="21"/>
              </w:rPr>
            </w:pPr>
            <w:r>
              <w:rPr>
                <w:sz w:val="21"/>
              </w:rPr>
              <w:t>投标书递交地点：</w:t>
            </w:r>
            <w:r>
              <w:rPr>
                <w:rFonts w:hint="eastAsia"/>
                <w:sz w:val="21"/>
                <w:szCs w:val="21"/>
              </w:rPr>
              <w:t>潍坊市高新区樱前街7</w:t>
            </w:r>
            <w:r>
              <w:rPr>
                <w:sz w:val="21"/>
                <w:szCs w:val="21"/>
              </w:rPr>
              <w:t>879</w:t>
            </w:r>
            <w:r>
              <w:rPr>
                <w:rFonts w:hint="eastAsia"/>
                <w:sz w:val="21"/>
                <w:szCs w:val="21"/>
              </w:rPr>
              <w:t>号</w:t>
            </w:r>
          </w:p>
          <w:p w14:paraId="7AD8FBC2">
            <w:pPr>
              <w:spacing w:line="240" w:lineRule="auto"/>
              <w:ind w:firstLine="0" w:firstLineChars="0"/>
              <w:rPr>
                <w:sz w:val="21"/>
              </w:rPr>
            </w:pPr>
            <w:r>
              <w:rPr>
                <w:sz w:val="21"/>
              </w:rPr>
              <w:t>邮编：261041</w:t>
            </w:r>
          </w:p>
          <w:p w14:paraId="6F6F59E2">
            <w:pPr>
              <w:spacing w:line="240" w:lineRule="auto"/>
              <w:ind w:firstLine="0" w:firstLineChars="0"/>
              <w:rPr>
                <w:sz w:val="21"/>
              </w:rPr>
            </w:pPr>
            <w:r>
              <w:rPr>
                <w:sz w:val="21"/>
              </w:rPr>
              <w:t>开标时间：2026年6月30日15:00时（北京时间）</w:t>
            </w:r>
          </w:p>
          <w:p w14:paraId="223A768A">
            <w:pPr>
              <w:spacing w:line="240" w:lineRule="auto"/>
              <w:ind w:firstLine="0" w:firstLineChars="0"/>
              <w:rPr>
                <w:sz w:val="21"/>
              </w:rPr>
            </w:pPr>
            <w:r>
              <w:rPr>
                <w:sz w:val="21"/>
              </w:rPr>
              <w:t>开标地点：</w:t>
            </w:r>
            <w:r>
              <w:rPr>
                <w:rFonts w:hint="eastAsia"/>
                <w:sz w:val="21"/>
              </w:rPr>
              <w:t>潍坊市高新区樱前街</w:t>
            </w:r>
            <w:r>
              <w:rPr>
                <w:sz w:val="21"/>
              </w:rPr>
              <w:t>7879号</w:t>
            </w:r>
          </w:p>
        </w:tc>
      </w:tr>
      <w:tr w14:paraId="173F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Borders>
              <w:top w:val="single" w:color="auto" w:sz="6" w:space="0"/>
              <w:bottom w:val="single" w:color="auto" w:sz="6" w:space="0"/>
            </w:tcBorders>
          </w:tcPr>
          <w:p w14:paraId="685AD732">
            <w:pPr>
              <w:spacing w:line="240" w:lineRule="auto"/>
              <w:ind w:firstLine="0" w:firstLineChars="0"/>
              <w:jc w:val="center"/>
              <w:rPr>
                <w:sz w:val="21"/>
              </w:rPr>
            </w:pPr>
            <w:r>
              <w:rPr>
                <w:rFonts w:hint="eastAsia"/>
                <w:sz w:val="21"/>
              </w:rPr>
              <w:t>下列情况的投标将被拒绝：</w:t>
            </w:r>
          </w:p>
        </w:tc>
      </w:tr>
      <w:tr w14:paraId="56DD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pct"/>
            <w:vMerge w:val="restart"/>
            <w:tcBorders>
              <w:top w:val="single" w:color="auto" w:sz="6" w:space="0"/>
              <w:left w:val="single" w:color="auto" w:sz="6" w:space="0"/>
              <w:bottom w:val="single" w:color="auto" w:sz="6" w:space="0"/>
              <w:right w:val="single" w:color="auto" w:sz="6" w:space="0"/>
            </w:tcBorders>
          </w:tcPr>
          <w:p w14:paraId="0224C79D">
            <w:pPr>
              <w:spacing w:line="240" w:lineRule="auto"/>
              <w:ind w:firstLine="0" w:firstLineChars="0"/>
              <w:jc w:val="center"/>
              <w:rPr>
                <w:sz w:val="21"/>
              </w:rPr>
            </w:pPr>
            <w:r>
              <w:rPr>
                <w:sz w:val="21"/>
              </w:rPr>
              <w:t>5</w:t>
            </w:r>
          </w:p>
        </w:tc>
        <w:tc>
          <w:tcPr>
            <w:tcW w:w="4358" w:type="pct"/>
            <w:tcBorders>
              <w:top w:val="single" w:color="auto" w:sz="6" w:space="0"/>
              <w:left w:val="single" w:color="auto" w:sz="6" w:space="0"/>
              <w:bottom w:val="single" w:color="auto" w:sz="6" w:space="0"/>
              <w:right w:val="single" w:color="auto" w:sz="6" w:space="0"/>
            </w:tcBorders>
            <w:shd w:val="clear" w:color="auto" w:fill="auto"/>
          </w:tcPr>
          <w:p w14:paraId="66843497">
            <w:pPr>
              <w:spacing w:line="240" w:lineRule="auto"/>
              <w:ind w:firstLine="0" w:firstLineChars="0"/>
              <w:rPr>
                <w:sz w:val="21"/>
              </w:rPr>
            </w:pPr>
            <w:r>
              <w:rPr>
                <w:sz w:val="21"/>
              </w:rPr>
              <w:t>投标书逾期送达的或者未送达指定地点的；</w:t>
            </w:r>
          </w:p>
        </w:tc>
      </w:tr>
      <w:tr w14:paraId="2F08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pct"/>
            <w:vMerge w:val="continue"/>
            <w:tcBorders>
              <w:top w:val="single" w:color="auto" w:sz="6" w:space="0"/>
              <w:left w:val="single" w:color="auto" w:sz="6" w:space="0"/>
              <w:bottom w:val="single" w:color="auto" w:sz="6" w:space="0"/>
              <w:right w:val="single" w:color="auto" w:sz="6" w:space="0"/>
            </w:tcBorders>
          </w:tcPr>
          <w:p w14:paraId="3A7B441E">
            <w:pPr>
              <w:spacing w:line="240" w:lineRule="auto"/>
              <w:ind w:firstLine="0" w:firstLineChars="0"/>
              <w:rPr>
                <w:sz w:val="21"/>
              </w:rPr>
            </w:pPr>
          </w:p>
        </w:tc>
        <w:tc>
          <w:tcPr>
            <w:tcW w:w="4358" w:type="pct"/>
            <w:tcBorders>
              <w:top w:val="single" w:color="auto" w:sz="6" w:space="0"/>
              <w:left w:val="single" w:color="auto" w:sz="6" w:space="0"/>
              <w:bottom w:val="single" w:color="auto" w:sz="6" w:space="0"/>
              <w:right w:val="single" w:color="auto" w:sz="6" w:space="0"/>
            </w:tcBorders>
            <w:shd w:val="clear" w:color="auto" w:fill="auto"/>
          </w:tcPr>
          <w:p w14:paraId="5457125A">
            <w:pPr>
              <w:spacing w:line="240" w:lineRule="auto"/>
              <w:ind w:firstLine="0" w:firstLineChars="0"/>
              <w:rPr>
                <w:sz w:val="21"/>
              </w:rPr>
            </w:pPr>
            <w:r>
              <w:rPr>
                <w:sz w:val="21"/>
              </w:rPr>
              <w:t>未按照招标书规定要求密封、签署、盖章的；</w:t>
            </w:r>
          </w:p>
        </w:tc>
      </w:tr>
      <w:tr w14:paraId="2A8C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pct"/>
            <w:vMerge w:val="continue"/>
            <w:tcBorders>
              <w:top w:val="single" w:color="auto" w:sz="6" w:space="0"/>
              <w:left w:val="single" w:color="auto" w:sz="6" w:space="0"/>
              <w:bottom w:val="single" w:color="auto" w:sz="6" w:space="0"/>
              <w:right w:val="single" w:color="auto" w:sz="6" w:space="0"/>
            </w:tcBorders>
          </w:tcPr>
          <w:p w14:paraId="21700A09">
            <w:pPr>
              <w:spacing w:line="240" w:lineRule="auto"/>
              <w:ind w:firstLine="0" w:firstLineChars="0"/>
              <w:rPr>
                <w:sz w:val="21"/>
              </w:rPr>
            </w:pPr>
          </w:p>
        </w:tc>
        <w:tc>
          <w:tcPr>
            <w:tcW w:w="4358" w:type="pct"/>
            <w:tcBorders>
              <w:top w:val="single" w:color="auto" w:sz="6" w:space="0"/>
              <w:left w:val="single" w:color="auto" w:sz="6" w:space="0"/>
              <w:bottom w:val="single" w:color="auto" w:sz="6" w:space="0"/>
              <w:right w:val="single" w:color="auto" w:sz="6" w:space="0"/>
            </w:tcBorders>
            <w:shd w:val="clear" w:color="auto" w:fill="auto"/>
          </w:tcPr>
          <w:p w14:paraId="136960CA">
            <w:pPr>
              <w:spacing w:line="240" w:lineRule="auto"/>
              <w:ind w:firstLine="0" w:firstLineChars="0"/>
              <w:rPr>
                <w:sz w:val="21"/>
              </w:rPr>
            </w:pPr>
            <w:r>
              <w:rPr>
                <w:sz w:val="21"/>
              </w:rPr>
              <w:t>投标有效期不足的；</w:t>
            </w:r>
          </w:p>
        </w:tc>
      </w:tr>
      <w:tr w14:paraId="04E3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pct"/>
            <w:vMerge w:val="continue"/>
            <w:tcBorders>
              <w:top w:val="single" w:color="auto" w:sz="6" w:space="0"/>
              <w:left w:val="single" w:color="auto" w:sz="6" w:space="0"/>
              <w:bottom w:val="single" w:color="auto" w:sz="6" w:space="0"/>
              <w:right w:val="single" w:color="auto" w:sz="6" w:space="0"/>
            </w:tcBorders>
          </w:tcPr>
          <w:p w14:paraId="4630CA90">
            <w:pPr>
              <w:spacing w:line="240" w:lineRule="auto"/>
              <w:ind w:firstLine="0" w:firstLineChars="0"/>
              <w:rPr>
                <w:sz w:val="21"/>
              </w:rPr>
            </w:pPr>
          </w:p>
        </w:tc>
        <w:tc>
          <w:tcPr>
            <w:tcW w:w="4358" w:type="pct"/>
            <w:tcBorders>
              <w:top w:val="single" w:color="auto" w:sz="6" w:space="0"/>
              <w:left w:val="single" w:color="auto" w:sz="6" w:space="0"/>
              <w:bottom w:val="single" w:color="auto" w:sz="6" w:space="0"/>
              <w:right w:val="single" w:color="auto" w:sz="6" w:space="0"/>
            </w:tcBorders>
            <w:shd w:val="clear" w:color="auto" w:fill="auto"/>
          </w:tcPr>
          <w:p w14:paraId="05F23E55">
            <w:pPr>
              <w:spacing w:line="240" w:lineRule="auto"/>
              <w:ind w:firstLine="0" w:firstLineChars="0"/>
              <w:rPr>
                <w:sz w:val="21"/>
              </w:rPr>
            </w:pPr>
            <w:r>
              <w:rPr>
                <w:sz w:val="21"/>
              </w:rPr>
              <w:t>未按招标书要求提供</w:t>
            </w:r>
          </w:p>
          <w:p w14:paraId="32C6ABBD">
            <w:pPr>
              <w:spacing w:line="240" w:lineRule="auto"/>
              <w:ind w:firstLine="0" w:firstLineChars="0"/>
              <w:rPr>
                <w:sz w:val="21"/>
              </w:rPr>
            </w:pPr>
            <w:r>
              <w:rPr>
                <w:sz w:val="21"/>
              </w:rPr>
              <w:t>附件1 投标申请函</w:t>
            </w:r>
          </w:p>
          <w:p w14:paraId="75FFB6B7">
            <w:pPr>
              <w:spacing w:line="240" w:lineRule="auto"/>
              <w:ind w:firstLine="0" w:firstLineChars="0"/>
              <w:rPr>
                <w:sz w:val="21"/>
              </w:rPr>
            </w:pPr>
            <w:r>
              <w:rPr>
                <w:sz w:val="21"/>
              </w:rPr>
              <w:t>附件2 投标一览表</w:t>
            </w:r>
          </w:p>
          <w:p w14:paraId="6B185EE5">
            <w:pPr>
              <w:spacing w:line="240" w:lineRule="auto"/>
              <w:ind w:firstLine="0" w:firstLineChars="0"/>
              <w:rPr>
                <w:rFonts w:hint="default" w:eastAsia="宋体"/>
                <w:sz w:val="21"/>
                <w:lang w:val="en-US" w:eastAsia="zh-CN"/>
              </w:rPr>
            </w:pPr>
            <w:r>
              <w:rPr>
                <w:sz w:val="21"/>
              </w:rPr>
              <w:t>附件</w:t>
            </w:r>
            <w:r>
              <w:rPr>
                <w:rFonts w:hint="eastAsia"/>
                <w:sz w:val="21"/>
                <w:lang w:val="en-US" w:eastAsia="zh-CN"/>
              </w:rPr>
              <w:t>3</w:t>
            </w:r>
            <w:r>
              <w:rPr>
                <w:sz w:val="21"/>
              </w:rPr>
              <w:t> </w:t>
            </w:r>
            <w:r>
              <w:rPr>
                <w:rFonts w:hint="eastAsia"/>
                <w:sz w:val="21"/>
                <w:lang w:val="en-US" w:eastAsia="zh-CN"/>
              </w:rPr>
              <w:t>合规承诺书</w:t>
            </w:r>
          </w:p>
          <w:p w14:paraId="475B78AB">
            <w:pPr>
              <w:spacing w:line="240" w:lineRule="auto"/>
              <w:ind w:firstLine="0" w:firstLineChars="0"/>
              <w:rPr>
                <w:rFonts w:hint="eastAsia" w:eastAsia="宋体"/>
                <w:sz w:val="21"/>
                <w:lang w:val="en-US" w:eastAsia="zh-CN"/>
              </w:rPr>
            </w:pPr>
            <w:r>
              <w:rPr>
                <w:rFonts w:hint="eastAsia"/>
                <w:sz w:val="21"/>
                <w:lang w:val="en-US" w:eastAsia="zh-CN"/>
              </w:rPr>
              <w:t>附件4</w:t>
            </w:r>
            <w:r>
              <w:rPr>
                <w:sz w:val="21"/>
              </w:rPr>
              <w:t> 资格证明文件</w:t>
            </w:r>
          </w:p>
          <w:p w14:paraId="754FD9EB">
            <w:pPr>
              <w:spacing w:line="240" w:lineRule="auto"/>
              <w:ind w:firstLine="0" w:firstLineChars="0"/>
              <w:rPr>
                <w:sz w:val="21"/>
              </w:rPr>
            </w:pPr>
            <w:r>
              <w:rPr>
                <w:sz w:val="21"/>
              </w:rPr>
              <w:t>包括：</w:t>
            </w:r>
          </w:p>
          <w:p w14:paraId="60B610B0">
            <w:pPr>
              <w:spacing w:line="240" w:lineRule="auto"/>
              <w:ind w:firstLine="0" w:firstLineChars="0"/>
              <w:rPr>
                <w:sz w:val="21"/>
              </w:rPr>
            </w:pPr>
            <w:r>
              <w:rPr>
                <w:sz w:val="21"/>
              </w:rPr>
              <w:t>附件</w:t>
            </w:r>
            <w:r>
              <w:rPr>
                <w:rFonts w:hint="eastAsia"/>
                <w:sz w:val="21"/>
                <w:lang w:val="en-US" w:eastAsia="zh-CN"/>
              </w:rPr>
              <w:t>4</w:t>
            </w:r>
            <w:r>
              <w:rPr>
                <w:sz w:val="21"/>
              </w:rPr>
              <w:t>.1 </w:t>
            </w:r>
            <w:r>
              <w:rPr>
                <w:rFonts w:hint="eastAsia"/>
                <w:sz w:val="21"/>
                <w:lang w:eastAsia="zh-CN"/>
              </w:rPr>
              <w:t>执行事务合伙人/单位负责人</w:t>
            </w:r>
            <w:r>
              <w:rPr>
                <w:sz w:val="21"/>
              </w:rPr>
              <w:t>授权书</w:t>
            </w:r>
          </w:p>
          <w:p w14:paraId="31A5BFEC">
            <w:pPr>
              <w:spacing w:line="240" w:lineRule="auto"/>
              <w:ind w:firstLine="0" w:firstLineChars="0"/>
              <w:rPr>
                <w:sz w:val="21"/>
              </w:rPr>
            </w:pPr>
            <w:r>
              <w:rPr>
                <w:sz w:val="21"/>
              </w:rPr>
              <w:t>附件</w:t>
            </w:r>
            <w:r>
              <w:rPr>
                <w:rFonts w:hint="eastAsia"/>
                <w:sz w:val="21"/>
                <w:lang w:val="en-US" w:eastAsia="zh-CN"/>
              </w:rPr>
              <w:t>4</w:t>
            </w:r>
            <w:r>
              <w:rPr>
                <w:sz w:val="21"/>
              </w:rPr>
              <w:t>.2 营业执照</w:t>
            </w:r>
            <w:r>
              <w:rPr>
                <w:rFonts w:hint="eastAsia"/>
                <w:sz w:val="21"/>
                <w:lang w:eastAsia="zh-CN"/>
              </w:rPr>
              <w:t>、</w:t>
            </w:r>
            <w:r>
              <w:rPr>
                <w:sz w:val="21"/>
              </w:rPr>
              <w:t>会计师事务所执业资格证书、证券期货相关业务资格证明文件（复印件加盖单位公章）</w:t>
            </w:r>
          </w:p>
          <w:p w14:paraId="46F6CED6">
            <w:pPr>
              <w:spacing w:line="240" w:lineRule="auto"/>
              <w:ind w:firstLine="0" w:firstLineChars="0"/>
              <w:rPr>
                <w:sz w:val="21"/>
              </w:rPr>
            </w:pPr>
            <w:r>
              <w:rPr>
                <w:sz w:val="21"/>
              </w:rPr>
              <w:t>附件</w:t>
            </w:r>
            <w:r>
              <w:rPr>
                <w:rFonts w:hint="eastAsia"/>
                <w:sz w:val="21"/>
                <w:lang w:val="en-US" w:eastAsia="zh-CN"/>
              </w:rPr>
              <w:t>4</w:t>
            </w:r>
            <w:r>
              <w:rPr>
                <w:sz w:val="21"/>
              </w:rPr>
              <w:t>.</w:t>
            </w:r>
            <w:r>
              <w:rPr>
                <w:rFonts w:hint="eastAsia"/>
                <w:sz w:val="21"/>
                <w:lang w:val="en-US" w:eastAsia="zh-CN"/>
              </w:rPr>
              <w:t>3</w:t>
            </w:r>
            <w:r>
              <w:rPr>
                <w:sz w:val="21"/>
              </w:rPr>
              <w:t> </w:t>
            </w:r>
            <w:r>
              <w:rPr>
                <w:rFonts w:hint="eastAsia"/>
                <w:sz w:val="21"/>
              </w:rPr>
              <w:t>最近三年内受到的监管部门处罚情况（提供中注协网站查询截图</w:t>
            </w:r>
            <w:r>
              <w:rPr>
                <w:sz w:val="21"/>
              </w:rPr>
              <w:t xml:space="preserve"> ）</w:t>
            </w:r>
          </w:p>
        </w:tc>
      </w:tr>
      <w:tr w14:paraId="3B41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pct"/>
            <w:vMerge w:val="continue"/>
            <w:tcBorders>
              <w:top w:val="single" w:color="auto" w:sz="6" w:space="0"/>
              <w:left w:val="single" w:color="auto" w:sz="6" w:space="0"/>
              <w:bottom w:val="single" w:color="auto" w:sz="6" w:space="0"/>
              <w:right w:val="single" w:color="auto" w:sz="6" w:space="0"/>
            </w:tcBorders>
          </w:tcPr>
          <w:p w14:paraId="5A9399A5">
            <w:pPr>
              <w:spacing w:line="240" w:lineRule="auto"/>
              <w:ind w:firstLine="0" w:firstLineChars="0"/>
              <w:rPr>
                <w:sz w:val="21"/>
              </w:rPr>
            </w:pPr>
          </w:p>
        </w:tc>
        <w:tc>
          <w:tcPr>
            <w:tcW w:w="4358" w:type="pct"/>
            <w:tcBorders>
              <w:top w:val="single" w:color="auto" w:sz="6" w:space="0"/>
              <w:left w:val="single" w:color="auto" w:sz="6" w:space="0"/>
              <w:bottom w:val="single" w:color="auto" w:sz="6" w:space="0"/>
              <w:right w:val="single" w:color="auto" w:sz="6" w:space="0"/>
            </w:tcBorders>
            <w:shd w:val="clear" w:color="auto" w:fill="auto"/>
          </w:tcPr>
          <w:p w14:paraId="02D0F958">
            <w:pPr>
              <w:spacing w:line="240" w:lineRule="auto"/>
              <w:ind w:firstLine="0" w:firstLineChars="0"/>
              <w:rPr>
                <w:sz w:val="21"/>
              </w:rPr>
            </w:pPr>
            <w:r>
              <w:rPr>
                <w:sz w:val="21"/>
              </w:rPr>
              <w:t>提供虚假文件或故意隐瞒不良业绩的；</w:t>
            </w:r>
          </w:p>
        </w:tc>
      </w:tr>
      <w:tr w14:paraId="3D2C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pct"/>
            <w:vMerge w:val="continue"/>
            <w:tcBorders>
              <w:top w:val="single" w:color="auto" w:sz="6" w:space="0"/>
              <w:left w:val="single" w:color="auto" w:sz="6" w:space="0"/>
              <w:bottom w:val="single" w:color="auto" w:sz="6" w:space="0"/>
              <w:right w:val="single" w:color="auto" w:sz="6" w:space="0"/>
            </w:tcBorders>
          </w:tcPr>
          <w:p w14:paraId="1F48AE7E">
            <w:pPr>
              <w:spacing w:line="240" w:lineRule="auto"/>
              <w:ind w:firstLine="0" w:firstLineChars="0"/>
              <w:rPr>
                <w:sz w:val="21"/>
              </w:rPr>
            </w:pPr>
          </w:p>
        </w:tc>
        <w:tc>
          <w:tcPr>
            <w:tcW w:w="4358" w:type="pct"/>
            <w:tcBorders>
              <w:top w:val="single" w:color="auto" w:sz="6" w:space="0"/>
              <w:left w:val="single" w:color="auto" w:sz="6" w:space="0"/>
              <w:bottom w:val="single" w:color="auto" w:sz="6" w:space="0"/>
              <w:right w:val="single" w:color="auto" w:sz="6" w:space="0"/>
            </w:tcBorders>
            <w:shd w:val="clear" w:color="auto" w:fill="auto"/>
          </w:tcPr>
          <w:p w14:paraId="48DD6EAC">
            <w:pPr>
              <w:spacing w:line="240" w:lineRule="auto"/>
              <w:ind w:firstLine="0" w:firstLineChars="0"/>
              <w:rPr>
                <w:sz w:val="21"/>
              </w:rPr>
            </w:pPr>
            <w:r>
              <w:rPr>
                <w:sz w:val="21"/>
              </w:rPr>
              <w:t>不符合法律、法规和招标书中规定的其他实质性要求的。</w:t>
            </w:r>
          </w:p>
        </w:tc>
      </w:tr>
      <w:tr w14:paraId="43E2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pct"/>
            <w:tcBorders>
              <w:top w:val="single" w:color="auto" w:sz="6" w:space="0"/>
              <w:left w:val="single" w:color="auto" w:sz="6" w:space="0"/>
              <w:bottom w:val="single" w:color="auto" w:sz="6" w:space="0"/>
              <w:right w:val="single" w:color="auto" w:sz="6" w:space="0"/>
            </w:tcBorders>
          </w:tcPr>
          <w:p w14:paraId="03E9C0EE">
            <w:pPr>
              <w:spacing w:line="240" w:lineRule="auto"/>
              <w:ind w:firstLine="0" w:firstLineChars="0"/>
              <w:jc w:val="center"/>
              <w:rPr>
                <w:sz w:val="21"/>
              </w:rPr>
            </w:pPr>
            <w:r>
              <w:rPr>
                <w:sz w:val="21"/>
              </w:rPr>
              <w:t>6</w:t>
            </w:r>
          </w:p>
        </w:tc>
        <w:tc>
          <w:tcPr>
            <w:tcW w:w="4358" w:type="pct"/>
            <w:tcBorders>
              <w:top w:val="single" w:color="auto" w:sz="6" w:space="0"/>
              <w:left w:val="single" w:color="auto" w:sz="6" w:space="0"/>
              <w:bottom w:val="single" w:color="auto" w:sz="6" w:space="0"/>
              <w:right w:val="single" w:color="auto" w:sz="6" w:space="0"/>
            </w:tcBorders>
            <w:shd w:val="clear" w:color="auto" w:fill="auto"/>
          </w:tcPr>
          <w:p w14:paraId="5890A88C">
            <w:pPr>
              <w:spacing w:line="240" w:lineRule="auto"/>
              <w:ind w:firstLine="0" w:firstLineChars="0"/>
              <w:rPr>
                <w:sz w:val="21"/>
              </w:rPr>
            </w:pPr>
            <w:r>
              <w:rPr>
                <w:rFonts w:hint="eastAsia"/>
                <w:sz w:val="21"/>
              </w:rPr>
              <w:t>合格投标人的要求：</w:t>
            </w:r>
          </w:p>
          <w:p w14:paraId="0A85AD9C">
            <w:pPr>
              <w:spacing w:line="240" w:lineRule="auto"/>
              <w:ind w:firstLine="0" w:firstLineChars="0"/>
              <w:rPr>
                <w:sz w:val="21"/>
              </w:rPr>
            </w:pPr>
            <w:r>
              <w:rPr>
                <w:rFonts w:hint="eastAsia"/>
                <w:sz w:val="21"/>
              </w:rPr>
              <w:t>（一）</w:t>
            </w:r>
            <w:r>
              <w:rPr>
                <w:sz w:val="21"/>
              </w:rPr>
              <w:t>在中国境内依法注册成立3年及以上，由有限责任制转为特殊的普通合伙制或普通合伙制的会计师事务所，延续转制前的经营年限</w:t>
            </w:r>
            <w:r>
              <w:rPr>
                <w:rFonts w:hint="eastAsia"/>
                <w:sz w:val="21"/>
              </w:rPr>
              <w:t>；</w:t>
            </w:r>
          </w:p>
          <w:p w14:paraId="36DCF35E">
            <w:pPr>
              <w:spacing w:line="240" w:lineRule="auto"/>
              <w:ind w:firstLine="0" w:firstLineChars="0"/>
              <w:rPr>
                <w:sz w:val="21"/>
              </w:rPr>
            </w:pPr>
            <w:r>
              <w:rPr>
                <w:sz w:val="21"/>
              </w:rPr>
              <w:t>（</w:t>
            </w:r>
            <w:r>
              <w:rPr>
                <w:rFonts w:hint="eastAsia"/>
                <w:sz w:val="21"/>
              </w:rPr>
              <w:t>二</w:t>
            </w:r>
            <w:r>
              <w:rPr>
                <w:sz w:val="21"/>
              </w:rPr>
              <w:t>）具有独立的法人资格，具备国家行业主管部门和中国证监会规定的开展证券期货相关业务所需的执业资格；</w:t>
            </w:r>
          </w:p>
          <w:p w14:paraId="50FD61CB">
            <w:pPr>
              <w:spacing w:line="240" w:lineRule="auto"/>
              <w:ind w:firstLine="0" w:firstLineChars="0"/>
              <w:rPr>
                <w:sz w:val="21"/>
              </w:rPr>
            </w:pPr>
            <w:r>
              <w:rPr>
                <w:sz w:val="21"/>
              </w:rPr>
              <w:t>（</w:t>
            </w:r>
            <w:r>
              <w:rPr>
                <w:rFonts w:hint="eastAsia"/>
                <w:sz w:val="21"/>
              </w:rPr>
              <w:t>三</w:t>
            </w:r>
            <w:r>
              <w:rPr>
                <w:sz w:val="21"/>
              </w:rPr>
              <w:t>）具有固定的工作场所、组织机构健全，内部管理和控制制度</w:t>
            </w:r>
            <w:r>
              <w:rPr>
                <w:rFonts w:hint="eastAsia"/>
                <w:sz w:val="21"/>
              </w:rPr>
              <w:t>较为</w:t>
            </w:r>
            <w:r>
              <w:rPr>
                <w:sz w:val="21"/>
              </w:rPr>
              <w:t>完善；</w:t>
            </w:r>
          </w:p>
          <w:p w14:paraId="43E47247">
            <w:pPr>
              <w:spacing w:line="240" w:lineRule="auto"/>
              <w:ind w:firstLine="0" w:firstLineChars="0"/>
              <w:rPr>
                <w:sz w:val="21"/>
              </w:rPr>
            </w:pPr>
            <w:r>
              <w:rPr>
                <w:rFonts w:hint="eastAsia"/>
                <w:sz w:val="21"/>
              </w:rPr>
              <w:t>（四）</w:t>
            </w:r>
            <w:r>
              <w:rPr>
                <w:sz w:val="21"/>
              </w:rPr>
              <w:t>具有良好的执业质量记录，按时保质完成审计工作任务，在审计工作中没有出现重大审计质量问题和不良记录，具备承担相应审计风险的能力</w:t>
            </w:r>
            <w:r>
              <w:rPr>
                <w:rFonts w:hint="eastAsia"/>
                <w:sz w:val="21"/>
              </w:rPr>
              <w:t>；</w:t>
            </w:r>
          </w:p>
          <w:p w14:paraId="04896997">
            <w:pPr>
              <w:spacing w:line="240" w:lineRule="auto"/>
              <w:ind w:firstLine="0" w:firstLineChars="0"/>
              <w:rPr>
                <w:rFonts w:hint="eastAsia" w:eastAsia="宋体"/>
                <w:sz w:val="21"/>
                <w:lang w:eastAsia="zh-CN"/>
              </w:rPr>
            </w:pPr>
            <w:r>
              <w:rPr>
                <w:rFonts w:hint="eastAsia"/>
                <w:sz w:val="21"/>
              </w:rPr>
              <w:t>（五）</w:t>
            </w:r>
            <w:r>
              <w:rPr>
                <w:sz w:val="21"/>
              </w:rPr>
              <w:t>具有良好的职业记录和社会声誉，认真执行有关财务审计的法律、法规和政策规定</w:t>
            </w:r>
            <w:r>
              <w:rPr>
                <w:rFonts w:hint="eastAsia"/>
                <w:sz w:val="21"/>
                <w:lang w:eastAsia="zh-CN"/>
              </w:rPr>
              <w:t>；</w:t>
            </w:r>
          </w:p>
          <w:p w14:paraId="1AC695A3">
            <w:pPr>
              <w:spacing w:line="240" w:lineRule="auto"/>
              <w:ind w:firstLine="0" w:firstLineChars="0"/>
              <w:rPr>
                <w:sz w:val="21"/>
              </w:rPr>
            </w:pPr>
            <w:r>
              <w:rPr>
                <w:rFonts w:hint="eastAsia"/>
                <w:sz w:val="21"/>
              </w:rPr>
              <w:t>（六）</w:t>
            </w:r>
            <w:r>
              <w:rPr>
                <w:sz w:val="21"/>
              </w:rPr>
              <w:t>能够保守被审计企业的商业秘密，维护国家金融信息安全</w:t>
            </w:r>
            <w:r>
              <w:rPr>
                <w:rFonts w:hint="eastAsia"/>
                <w:sz w:val="21"/>
              </w:rPr>
              <w:t>；</w:t>
            </w:r>
          </w:p>
          <w:p w14:paraId="776AFE41">
            <w:pPr>
              <w:spacing w:line="240" w:lineRule="auto"/>
              <w:ind w:firstLine="0" w:firstLineChars="0"/>
              <w:rPr>
                <w:sz w:val="21"/>
              </w:rPr>
            </w:pPr>
            <w:r>
              <w:rPr>
                <w:sz w:val="21"/>
              </w:rPr>
              <w:t>（</w:t>
            </w:r>
            <w:r>
              <w:rPr>
                <w:rFonts w:hint="eastAsia"/>
                <w:sz w:val="21"/>
              </w:rPr>
              <w:t>七</w:t>
            </w:r>
            <w:r>
              <w:rPr>
                <w:sz w:val="21"/>
              </w:rPr>
              <w:t>）中国证监会</w:t>
            </w:r>
            <w:r>
              <w:rPr>
                <w:rFonts w:hint="eastAsia"/>
                <w:sz w:val="21"/>
              </w:rPr>
              <w:t>、财政部、国务院国资委</w:t>
            </w:r>
            <w:r>
              <w:rPr>
                <w:sz w:val="21"/>
              </w:rPr>
              <w:t>规定的其他条件。</w:t>
            </w:r>
          </w:p>
        </w:tc>
      </w:tr>
    </w:tbl>
    <w:p w14:paraId="79158A1A">
      <w:pPr>
        <w:pStyle w:val="4"/>
        <w:rPr>
          <w:b/>
        </w:rPr>
      </w:pPr>
      <w:bookmarkStart w:id="11" w:name="_Toc12197"/>
      <w:r>
        <w:rPr>
          <w:rFonts w:hint="eastAsia"/>
        </w:rPr>
        <w:t>投标人须知</w:t>
      </w:r>
      <w:bookmarkEnd w:id="11"/>
    </w:p>
    <w:p w14:paraId="295134D4">
      <w:pPr>
        <w:pStyle w:val="3"/>
        <w:ind w:firstLine="560"/>
        <w:rPr>
          <w:b/>
        </w:rPr>
      </w:pPr>
      <w:bookmarkStart w:id="12" w:name="_Toc32293"/>
      <w:r>
        <w:rPr>
          <w:rFonts w:hint="eastAsia"/>
        </w:rPr>
        <w:t>一、总</w:t>
      </w:r>
      <w:r>
        <w:t xml:space="preserve"> 则</w:t>
      </w:r>
      <w:bookmarkEnd w:id="12"/>
    </w:p>
    <w:p w14:paraId="4438062F">
      <w:pPr>
        <w:pStyle w:val="4"/>
      </w:pPr>
      <w:bookmarkStart w:id="13" w:name="_Toc19022"/>
      <w:r>
        <w:t>1</w:t>
      </w:r>
      <w:r>
        <w:rPr>
          <w:rFonts w:hint="eastAsia"/>
          <w:lang w:eastAsia="zh-CN"/>
        </w:rPr>
        <w:t>.</w:t>
      </w:r>
      <w:r>
        <w:rPr>
          <w:rFonts w:hint="eastAsia"/>
          <w:lang w:val="en-US" w:eastAsia="zh-CN"/>
        </w:rPr>
        <w:t xml:space="preserve"> </w:t>
      </w:r>
      <w:r>
        <w:t>使用范围</w:t>
      </w:r>
      <w:bookmarkEnd w:id="13"/>
    </w:p>
    <w:p w14:paraId="4EDD3FB9">
      <w:r>
        <w:t>1.1 投标书仅适用于</w:t>
      </w:r>
      <w:r>
        <w:rPr>
          <w:rFonts w:hint="eastAsia"/>
          <w:lang w:val="en-US" w:eastAsia="zh-CN"/>
        </w:rPr>
        <w:t>招标公告</w:t>
      </w:r>
      <w:r>
        <w:t>中所叙述项目的服务。</w:t>
      </w:r>
    </w:p>
    <w:p w14:paraId="43259E50">
      <w:pPr>
        <w:pStyle w:val="4"/>
      </w:pPr>
      <w:bookmarkStart w:id="14" w:name="_Toc13636"/>
      <w:r>
        <w:t>2．定义</w:t>
      </w:r>
      <w:bookmarkEnd w:id="14"/>
    </w:p>
    <w:p w14:paraId="1C748BFB">
      <w:pPr>
        <w:rPr>
          <w:rFonts w:hint="eastAsia" w:eastAsia="宋体"/>
          <w:lang w:val="en-US" w:eastAsia="zh-CN"/>
        </w:rPr>
      </w:pPr>
      <w:r>
        <w:t>2.1</w:t>
      </w:r>
      <w:r>
        <w:rPr>
          <w:rFonts w:hint="eastAsia"/>
          <w:lang w:val="en-US" w:eastAsia="zh-CN"/>
        </w:rPr>
        <w:t xml:space="preserve"> </w:t>
      </w:r>
      <w:r>
        <w:t>“招标人”系指华丰动力股份有限公司</w:t>
      </w:r>
      <w:r>
        <w:rPr>
          <w:rFonts w:hint="eastAsia"/>
          <w:lang w:eastAsia="zh-CN"/>
        </w:rPr>
        <w:t>。</w:t>
      </w:r>
    </w:p>
    <w:p w14:paraId="1D650DA9">
      <w:r>
        <w:t>2.2</w:t>
      </w:r>
      <w:r>
        <w:rPr>
          <w:rFonts w:hint="eastAsia"/>
          <w:lang w:val="en-US" w:eastAsia="zh-CN"/>
        </w:rPr>
        <w:t xml:space="preserve"> </w:t>
      </w:r>
      <w:r>
        <w:t>“投标人”系指响应招标人要求，向招标人递交投标书的投标人。</w:t>
      </w:r>
    </w:p>
    <w:p w14:paraId="2BCA4833">
      <w:r>
        <w:t>2.3</w:t>
      </w:r>
      <w:r>
        <w:rPr>
          <w:rFonts w:hint="eastAsia"/>
          <w:lang w:val="en-US" w:eastAsia="zh-CN"/>
        </w:rPr>
        <w:t xml:space="preserve"> </w:t>
      </w:r>
      <w:r>
        <w:t>“服务”系指招标书规定的招标内容中投标人须承担的服务。</w:t>
      </w:r>
    </w:p>
    <w:p w14:paraId="295EEB46">
      <w:pPr>
        <w:pStyle w:val="4"/>
      </w:pPr>
      <w:bookmarkStart w:id="15" w:name="_Toc25283"/>
      <w:r>
        <w:t>3．合格的投标人</w:t>
      </w:r>
      <w:bookmarkEnd w:id="15"/>
    </w:p>
    <w:p w14:paraId="4F9CEDC2">
      <w:r>
        <w:t>3.1</w:t>
      </w:r>
      <w:r>
        <w:rPr>
          <w:rFonts w:hint="eastAsia"/>
          <w:lang w:val="en-US" w:eastAsia="zh-CN"/>
        </w:rPr>
        <w:t xml:space="preserve"> </w:t>
      </w:r>
      <w:r>
        <w:t>在中国境内依法注册成立3年及以上，由有限责任制转为特殊的普通合伙制或普通合伙制的会计师事务所，延续转制前的经营年限;</w:t>
      </w:r>
    </w:p>
    <w:p w14:paraId="1577F0B5">
      <w:r>
        <w:rPr>
          <w:rFonts w:hint="eastAsia"/>
        </w:rPr>
        <w:t>3.2</w:t>
      </w:r>
      <w:r>
        <w:rPr>
          <w:rFonts w:hint="eastAsia"/>
          <w:lang w:val="en-US" w:eastAsia="zh-CN"/>
        </w:rPr>
        <w:t xml:space="preserve"> </w:t>
      </w:r>
      <w:r>
        <w:t>具有独立的法人资格，具备国家行业主管部门和中国证监会规定的开展证券期货相关业务所需的执业资格；</w:t>
      </w:r>
    </w:p>
    <w:p w14:paraId="3F267FF0">
      <w:r>
        <w:rPr>
          <w:rFonts w:hint="eastAsia"/>
        </w:rPr>
        <w:t>3.3</w:t>
      </w:r>
      <w:r>
        <w:rPr>
          <w:rFonts w:hint="eastAsia"/>
          <w:lang w:val="en-US" w:eastAsia="zh-CN"/>
        </w:rPr>
        <w:t xml:space="preserve"> </w:t>
      </w:r>
      <w:r>
        <w:t>具有固定的工作场所、组织机构健全，内部管理和控制制度</w:t>
      </w:r>
      <w:r>
        <w:rPr>
          <w:rFonts w:hint="eastAsia"/>
        </w:rPr>
        <w:t>较为</w:t>
      </w:r>
      <w:r>
        <w:t>完善；</w:t>
      </w:r>
    </w:p>
    <w:p w14:paraId="7DFF6593">
      <w:pPr>
        <w:rPr>
          <w:highlight w:val="none"/>
        </w:rPr>
      </w:pPr>
      <w:r>
        <w:rPr>
          <w:rFonts w:hint="eastAsia"/>
        </w:rPr>
        <w:t>3.4</w:t>
      </w:r>
      <w:r>
        <w:rPr>
          <w:rFonts w:hint="eastAsia"/>
          <w:lang w:val="en-US" w:eastAsia="zh-CN"/>
        </w:rPr>
        <w:t xml:space="preserve"> </w:t>
      </w:r>
      <w:r>
        <w:rPr>
          <w:rFonts w:hint="eastAsia"/>
          <w:highlight w:val="none"/>
        </w:rPr>
        <w:t>近3年内（2023年1月1日至今）事务所及拟签字注册会计师</w:t>
      </w:r>
      <w:r>
        <w:rPr>
          <w:highlight w:val="none"/>
        </w:rPr>
        <w:t>具有良好的执业质量记录，按时保质完成审计工作任务，在审计工作中没有出现重大审计质量问题和不良记录</w:t>
      </w:r>
      <w:r>
        <w:rPr>
          <w:rFonts w:hint="eastAsia"/>
          <w:highlight w:val="none"/>
          <w:lang w:eastAsia="zh-CN"/>
        </w:rPr>
        <w:t>（</w:t>
      </w:r>
      <w:r>
        <w:rPr>
          <w:rFonts w:hint="eastAsia"/>
          <w:highlight w:val="none"/>
          <w:lang w:val="en-US" w:eastAsia="zh-CN"/>
        </w:rPr>
        <w:t>包括但不限于</w:t>
      </w:r>
      <w:r>
        <w:rPr>
          <w:rFonts w:hint="eastAsia"/>
          <w:highlight w:val="none"/>
        </w:rPr>
        <w:t>无重大行政处罚、无证券市场禁入、无执业质量重大违规、无刑事处罚记录</w:t>
      </w:r>
      <w:r>
        <w:rPr>
          <w:rFonts w:hint="eastAsia"/>
          <w:highlight w:val="none"/>
          <w:lang w:eastAsia="zh-CN"/>
        </w:rPr>
        <w:t>）</w:t>
      </w:r>
      <w:r>
        <w:rPr>
          <w:rFonts w:hint="eastAsia"/>
          <w:highlight w:val="none"/>
        </w:rPr>
        <w:t>，</w:t>
      </w:r>
      <w:r>
        <w:rPr>
          <w:highlight w:val="none"/>
        </w:rPr>
        <w:t>具备承担相应审计风险的能力</w:t>
      </w:r>
      <w:r>
        <w:rPr>
          <w:rFonts w:hint="eastAsia"/>
          <w:highlight w:val="none"/>
        </w:rPr>
        <w:t>；</w:t>
      </w:r>
    </w:p>
    <w:p w14:paraId="0E36471F">
      <w:pPr>
        <w:rPr>
          <w:rFonts w:hint="eastAsia" w:eastAsia="宋体"/>
          <w:highlight w:val="none"/>
          <w:lang w:eastAsia="zh-CN"/>
        </w:rPr>
      </w:pPr>
      <w:r>
        <w:rPr>
          <w:rFonts w:hint="eastAsia"/>
          <w:highlight w:val="none"/>
        </w:rPr>
        <w:t>3.5</w:t>
      </w:r>
      <w:r>
        <w:rPr>
          <w:rFonts w:hint="eastAsia"/>
          <w:highlight w:val="none"/>
          <w:lang w:val="en-US" w:eastAsia="zh-CN"/>
        </w:rPr>
        <w:t xml:space="preserve"> </w:t>
      </w:r>
      <w:r>
        <w:rPr>
          <w:highlight w:val="none"/>
        </w:rPr>
        <w:t>具有良好的职业记录和社会声誉，认真执行有关财务审计的法律、法规和政策规定</w:t>
      </w:r>
      <w:r>
        <w:rPr>
          <w:rFonts w:hint="eastAsia"/>
          <w:highlight w:val="none"/>
          <w:lang w:eastAsia="zh-CN"/>
        </w:rPr>
        <w:t>；</w:t>
      </w:r>
    </w:p>
    <w:p w14:paraId="2870EA17">
      <w:pPr>
        <w:rPr>
          <w:highlight w:val="none"/>
        </w:rPr>
      </w:pPr>
      <w:r>
        <w:rPr>
          <w:rFonts w:hint="eastAsia"/>
          <w:highlight w:val="none"/>
        </w:rPr>
        <w:t>3.6</w:t>
      </w:r>
      <w:r>
        <w:rPr>
          <w:rFonts w:hint="eastAsia"/>
          <w:highlight w:val="none"/>
          <w:lang w:val="en-US" w:eastAsia="zh-CN"/>
        </w:rPr>
        <w:t xml:space="preserve"> </w:t>
      </w:r>
      <w:r>
        <w:rPr>
          <w:highlight w:val="none"/>
        </w:rPr>
        <w:t>能够保守被审计企业的商业秘密，维护国家金融信息安全</w:t>
      </w:r>
      <w:r>
        <w:rPr>
          <w:rFonts w:hint="eastAsia"/>
          <w:highlight w:val="none"/>
        </w:rPr>
        <w:t>；</w:t>
      </w:r>
    </w:p>
    <w:p w14:paraId="0FCAD143">
      <w:pPr>
        <w:rPr>
          <w:highlight w:val="none"/>
        </w:rPr>
      </w:pPr>
      <w:r>
        <w:rPr>
          <w:rFonts w:hint="eastAsia"/>
          <w:highlight w:val="none"/>
        </w:rPr>
        <w:t>3.7</w:t>
      </w:r>
      <w:r>
        <w:rPr>
          <w:rFonts w:hint="eastAsia"/>
          <w:highlight w:val="none"/>
          <w:lang w:val="en-US" w:eastAsia="zh-CN"/>
        </w:rPr>
        <w:t xml:space="preserve"> </w:t>
      </w:r>
      <w:r>
        <w:rPr>
          <w:highlight w:val="none"/>
        </w:rPr>
        <w:t>中国证监会</w:t>
      </w:r>
      <w:r>
        <w:rPr>
          <w:rFonts w:hint="eastAsia"/>
          <w:highlight w:val="none"/>
        </w:rPr>
        <w:t>、财政部、国务院国资委</w:t>
      </w:r>
      <w:r>
        <w:rPr>
          <w:highlight w:val="none"/>
        </w:rPr>
        <w:t>规定的其他条件。</w:t>
      </w:r>
    </w:p>
    <w:p w14:paraId="6DBAFFBB">
      <w:pPr>
        <w:rPr>
          <w:highlight w:val="none"/>
        </w:rPr>
      </w:pPr>
      <w:r>
        <w:rPr>
          <w:rFonts w:hint="eastAsia"/>
          <w:highlight w:val="none"/>
        </w:rPr>
        <w:t>3.8</w:t>
      </w:r>
      <w:r>
        <w:rPr>
          <w:rFonts w:hint="eastAsia"/>
          <w:highlight w:val="none"/>
          <w:lang w:val="en-US" w:eastAsia="zh-CN"/>
        </w:rPr>
        <w:t xml:space="preserve"> </w:t>
      </w:r>
      <w:r>
        <w:rPr>
          <w:highlight w:val="none"/>
        </w:rPr>
        <w:t>本项目不接受联合体投标。</w:t>
      </w:r>
    </w:p>
    <w:p w14:paraId="69739A74">
      <w:pPr>
        <w:pStyle w:val="4"/>
      </w:pPr>
      <w:bookmarkStart w:id="16" w:name="_Toc14609"/>
      <w:r>
        <w:t>4．费用</w:t>
      </w:r>
      <w:bookmarkEnd w:id="16"/>
    </w:p>
    <w:p w14:paraId="50487B7E">
      <w:r>
        <w:t>4.1 投标人应承担所有与编写和提交投标书有关的费用，无论招标过程中的做法和结果如何，招标人在任何情况下均无义务和责任承担这些费用。</w:t>
      </w:r>
    </w:p>
    <w:p w14:paraId="5009E67F">
      <w:pPr>
        <w:pStyle w:val="3"/>
        <w:ind w:firstLine="560"/>
        <w:rPr>
          <w:b/>
        </w:rPr>
      </w:pPr>
      <w:bookmarkStart w:id="17" w:name="_Toc23541"/>
      <w:r>
        <w:rPr>
          <w:rFonts w:hint="eastAsia"/>
        </w:rPr>
        <w:t>二、招标书说明</w:t>
      </w:r>
      <w:bookmarkEnd w:id="17"/>
    </w:p>
    <w:p w14:paraId="7BF2A4AD">
      <w:pPr>
        <w:pStyle w:val="4"/>
      </w:pPr>
      <w:bookmarkStart w:id="18" w:name="_Toc31563"/>
      <w:r>
        <w:t>5．招标书的构成</w:t>
      </w:r>
      <w:bookmarkEnd w:id="18"/>
    </w:p>
    <w:p w14:paraId="0FAD0A93">
      <w:r>
        <w:t>5.1 招标书用以阐明所需提供的服务、招标程序和合同条件。招标书包括：</w:t>
      </w:r>
    </w:p>
    <w:p w14:paraId="09D0CE9F">
      <w:pPr>
        <w:rPr>
          <w:rFonts w:hint="default" w:eastAsia="宋体"/>
          <w:lang w:val="en-US" w:eastAsia="zh-CN"/>
        </w:rPr>
      </w:pPr>
      <w:r>
        <w:rPr>
          <w:rFonts w:hint="eastAsia"/>
        </w:rPr>
        <w:t>（</w:t>
      </w:r>
      <w:r>
        <w:t>1）</w:t>
      </w:r>
      <w:r>
        <w:rPr>
          <w:rFonts w:hint="eastAsia"/>
          <w:lang w:val="en-US" w:eastAsia="zh-CN"/>
        </w:rPr>
        <w:t>招标公告</w:t>
      </w:r>
    </w:p>
    <w:p w14:paraId="10553445">
      <w:r>
        <w:rPr>
          <w:rFonts w:hint="eastAsia"/>
        </w:rPr>
        <w:t>（</w:t>
      </w:r>
      <w:r>
        <w:t>2）投标人须知</w:t>
      </w:r>
    </w:p>
    <w:p w14:paraId="51231327">
      <w:r>
        <w:rPr>
          <w:rFonts w:hint="eastAsia"/>
        </w:rPr>
        <w:t>（</w:t>
      </w:r>
      <w:r>
        <w:t>3）服务要求</w:t>
      </w:r>
    </w:p>
    <w:p w14:paraId="6C376989">
      <w:r>
        <w:rPr>
          <w:rFonts w:hint="eastAsia"/>
        </w:rPr>
        <w:t>（</w:t>
      </w:r>
      <w:r>
        <w:t>4）投标书格式</w:t>
      </w:r>
    </w:p>
    <w:p w14:paraId="76F6F664">
      <w:r>
        <w:rPr>
          <w:rFonts w:hint="eastAsia"/>
        </w:rPr>
        <w:t>（</w:t>
      </w:r>
      <w:r>
        <w:t>5）评分方法和标准</w:t>
      </w:r>
    </w:p>
    <w:p w14:paraId="443941B4">
      <w:r>
        <w:t>5.2 投标人应认真阅读招标书中所有的事项、格式条款和规范要求等。投标人没有对招标书规定的要求和条件做出响应的，招标人有权拒绝投标人的投标书。</w:t>
      </w:r>
    </w:p>
    <w:p w14:paraId="32811D09">
      <w:pPr>
        <w:pStyle w:val="4"/>
      </w:pPr>
      <w:bookmarkStart w:id="19" w:name="_Toc22774"/>
      <w:r>
        <w:t>6．招标书的澄清</w:t>
      </w:r>
      <w:bookmarkEnd w:id="19"/>
    </w:p>
    <w:p w14:paraId="1556855C">
      <w:r>
        <w:t>6.1 任何要求对招标书澄清的投标人，均应以书面形式、在投标书递交截止期 2日</w:t>
      </w:r>
      <w:r>
        <w:rPr>
          <w:rFonts w:hint="eastAsia"/>
          <w:lang w:val="en-US" w:eastAsia="zh-CN"/>
        </w:rPr>
        <w:t>前</w:t>
      </w:r>
      <w:r>
        <w:t>以</w:t>
      </w:r>
      <w:r>
        <w:rPr>
          <w:rFonts w:hint="eastAsia"/>
          <w:lang w:val="en-US" w:eastAsia="zh-CN"/>
        </w:rPr>
        <w:t>电子邮件</w:t>
      </w:r>
      <w:r>
        <w:t>形式通知招标人。</w:t>
      </w:r>
      <w:r>
        <w:rPr>
          <w:rFonts w:hint="eastAsia"/>
        </w:rPr>
        <w:t>对于涉及招标文件实质性内容、可能影响所有投标人编制投标文件的澄清或答复，招标人将在公司官方网站“采购招标”栏目</w:t>
      </w:r>
      <w:r>
        <w:rPr>
          <w:rFonts w:hint="eastAsia"/>
          <w:lang w:val="en-US" w:eastAsia="zh-CN"/>
        </w:rPr>
        <w:t>及官方微信公众号</w:t>
      </w:r>
      <w:r>
        <w:rPr>
          <w:rFonts w:hint="eastAsia"/>
        </w:rPr>
        <w:t>以公告形式统一发布。投标人应自行密切关注官网</w:t>
      </w:r>
      <w:r>
        <w:rPr>
          <w:rFonts w:hint="eastAsia"/>
          <w:lang w:val="en-US" w:eastAsia="zh-CN"/>
        </w:rPr>
        <w:t>或官方微信公众号</w:t>
      </w:r>
      <w:r>
        <w:rPr>
          <w:rFonts w:hint="eastAsia"/>
        </w:rPr>
        <w:t>公告，招标人不再另行单独通知。对于仅涉及个别投标人疑问、不影响投标文件实质性编制的一般性问题，招标人有权通过电子邮件、电话或其他适当方式，直接向提出疑问的投标人予以答复。</w:t>
      </w:r>
    </w:p>
    <w:p w14:paraId="45071679">
      <w:pPr>
        <w:pStyle w:val="4"/>
      </w:pPr>
      <w:bookmarkStart w:id="20" w:name="_Toc20958"/>
      <w:r>
        <w:t>7．招标书的修改</w:t>
      </w:r>
      <w:bookmarkEnd w:id="20"/>
    </w:p>
    <w:p w14:paraId="3FB6CCC6">
      <w:r>
        <w:t>7.1 在投标书递交截止期 2 日</w:t>
      </w:r>
      <w:r>
        <w:rPr>
          <w:rFonts w:hint="eastAsia"/>
          <w:lang w:val="en-US" w:eastAsia="zh-CN"/>
        </w:rPr>
        <w:t>前</w:t>
      </w:r>
      <w:r>
        <w:t>，无论出于何种原因，招标人可主动地或在解答投标人要求澄清的问题时对招标文件进行修改。</w:t>
      </w:r>
    </w:p>
    <w:p w14:paraId="7BB3E964">
      <w:r>
        <w:t>7.2 招标书的修改</w:t>
      </w:r>
      <w:r>
        <w:rPr>
          <w:rFonts w:hint="eastAsia"/>
          <w:lang w:val="en-US" w:eastAsia="zh-CN"/>
        </w:rPr>
        <w:t>将通过公司官方网站“采购招标”栏目及官方微信公众号以公告形式发布，不再另行以书面或电话、电子邮件形式单独通知各投标人。投标人应自行密切关注公司官网或官方微信公众号的相关公告。因投标人未及时查看官网或官方微信公众号公告而导致未能按时投标、投标无效或投标失误的，其责任和后果由投标人自行承担。</w:t>
      </w:r>
    </w:p>
    <w:p w14:paraId="31BB9EA5">
      <w:r>
        <w:t>7.3 为使投标人在准备投标书时，有充分的时间对招标书的修改进行研究考虑，招标人可以自行决定，酌情推迟投标文件递交截止日期，</w:t>
      </w:r>
      <w:r>
        <w:rPr>
          <w:rFonts w:hint="eastAsia"/>
        </w:rPr>
        <w:t>并在公司官方网站</w:t>
      </w:r>
      <w:r>
        <w:rPr>
          <w:rFonts w:hint="eastAsia"/>
          <w:lang w:eastAsia="zh-CN"/>
        </w:rPr>
        <w:t>“</w:t>
      </w:r>
      <w:r>
        <w:rPr>
          <w:rFonts w:hint="eastAsia"/>
        </w:rPr>
        <w:t>采购招标</w:t>
      </w:r>
      <w:r>
        <w:rPr>
          <w:rFonts w:hint="eastAsia"/>
          <w:lang w:eastAsia="zh-CN"/>
        </w:rPr>
        <w:t>”</w:t>
      </w:r>
      <w:r>
        <w:rPr>
          <w:rFonts w:hint="eastAsia"/>
        </w:rPr>
        <w:t>栏目发布延期公告。</w:t>
      </w:r>
      <w:r>
        <w:t>。</w:t>
      </w:r>
    </w:p>
    <w:p w14:paraId="20C6536D">
      <w:r>
        <w:t>7.4 招标书的修改书将作为招标书的一部分，对招标人和投标人都具有约束力。</w:t>
      </w:r>
    </w:p>
    <w:p w14:paraId="0DA645A9">
      <w:pPr>
        <w:pStyle w:val="3"/>
        <w:ind w:firstLine="560"/>
        <w:rPr>
          <w:b/>
        </w:rPr>
      </w:pPr>
      <w:bookmarkStart w:id="21" w:name="_Toc8855"/>
      <w:r>
        <w:rPr>
          <w:rFonts w:hint="eastAsia"/>
        </w:rPr>
        <w:t>三、投标书的编写</w:t>
      </w:r>
      <w:bookmarkEnd w:id="21"/>
    </w:p>
    <w:p w14:paraId="0180A01C">
      <w:pPr>
        <w:pStyle w:val="4"/>
      </w:pPr>
      <w:bookmarkStart w:id="22" w:name="_Toc27277"/>
      <w:r>
        <w:t>8．投标书语言</w:t>
      </w:r>
      <w:bookmarkEnd w:id="22"/>
    </w:p>
    <w:p w14:paraId="64A07426">
      <w:r>
        <w:t>8.1 由投标人编写的投标书和往来书信应以中文书写。</w:t>
      </w:r>
    </w:p>
    <w:p w14:paraId="4FC00995">
      <w:pPr>
        <w:pStyle w:val="4"/>
      </w:pPr>
      <w:bookmarkStart w:id="23" w:name="_Toc24318"/>
      <w:r>
        <w:t>9．计量单位</w:t>
      </w:r>
      <w:bookmarkEnd w:id="23"/>
    </w:p>
    <w:p w14:paraId="11CA7A74">
      <w:r>
        <w:t>9.1 除在招标书的技术规格中另有规定外，计量单位应使用中华人民共和国法定计量单位。</w:t>
      </w:r>
    </w:p>
    <w:p w14:paraId="693A78F1">
      <w:pPr>
        <w:pStyle w:val="4"/>
      </w:pPr>
      <w:bookmarkStart w:id="24" w:name="_Toc27810"/>
      <w:r>
        <w:t>10．投标书的组成</w:t>
      </w:r>
      <w:bookmarkEnd w:id="24"/>
    </w:p>
    <w:p w14:paraId="4C27E8E4">
      <w:r>
        <w:rPr>
          <w:rFonts w:hint="eastAsia"/>
        </w:rPr>
        <w:t>投标人编写的投标文件应包含下列部分（包括但不限于）：</w:t>
      </w:r>
    </w:p>
    <w:p w14:paraId="614B462F">
      <w:r>
        <w:rPr>
          <w:rFonts w:hint="eastAsia"/>
        </w:rPr>
        <w:t>附件</w:t>
      </w:r>
      <w:r>
        <w:t xml:space="preserve"> 1 投标申请函</w:t>
      </w:r>
    </w:p>
    <w:p w14:paraId="5EFFE845">
      <w:r>
        <w:rPr>
          <w:rFonts w:hint="eastAsia"/>
        </w:rPr>
        <w:t>附件</w:t>
      </w:r>
      <w:r>
        <w:t xml:space="preserve"> 2 投标一览表</w:t>
      </w:r>
    </w:p>
    <w:p w14:paraId="4E41159D">
      <w:pPr>
        <w:rPr>
          <w:rFonts w:hint="default" w:eastAsia="宋体"/>
          <w:lang w:val="en-US" w:eastAsia="zh-CN"/>
        </w:rPr>
      </w:pPr>
      <w:r>
        <w:rPr>
          <w:rFonts w:hint="eastAsia"/>
          <w:lang w:val="en-US" w:eastAsia="zh-CN"/>
        </w:rPr>
        <w:t>附件 3 合规承诺书</w:t>
      </w:r>
    </w:p>
    <w:p w14:paraId="33F7D9DA">
      <w:r>
        <w:rPr>
          <w:rFonts w:hint="eastAsia"/>
        </w:rPr>
        <w:t>附件</w:t>
      </w:r>
      <w:r>
        <w:t xml:space="preserve"> </w:t>
      </w:r>
      <w:r>
        <w:rPr>
          <w:rFonts w:hint="eastAsia"/>
          <w:lang w:val="en-US" w:eastAsia="zh-CN"/>
        </w:rPr>
        <w:t>4</w:t>
      </w:r>
      <w:r>
        <w:t xml:space="preserve"> 资格证明文件</w:t>
      </w:r>
    </w:p>
    <w:p w14:paraId="5E3E2B28">
      <w:r>
        <w:rPr>
          <w:rFonts w:hint="eastAsia"/>
        </w:rPr>
        <w:t>包括：</w:t>
      </w:r>
    </w:p>
    <w:p w14:paraId="653F04ED">
      <w:r>
        <w:rPr>
          <w:rFonts w:hint="eastAsia"/>
        </w:rPr>
        <w:t>附件</w:t>
      </w:r>
      <w:r>
        <w:t xml:space="preserve"> </w:t>
      </w:r>
      <w:r>
        <w:rPr>
          <w:rFonts w:hint="eastAsia"/>
          <w:lang w:val="en-US" w:eastAsia="zh-CN"/>
        </w:rPr>
        <w:t>4</w:t>
      </w:r>
      <w:r>
        <w:t xml:space="preserve">.1 </w:t>
      </w:r>
      <w:r>
        <w:rPr>
          <w:rFonts w:hint="eastAsia"/>
          <w:lang w:eastAsia="zh-CN"/>
        </w:rPr>
        <w:t>执行事务合伙人/单位负责人</w:t>
      </w:r>
      <w:r>
        <w:t>授权书</w:t>
      </w:r>
    </w:p>
    <w:p w14:paraId="37C075EE">
      <w:r>
        <w:rPr>
          <w:rFonts w:hint="eastAsia"/>
        </w:rPr>
        <w:t>附件</w:t>
      </w:r>
      <w:r>
        <w:t xml:space="preserve"> </w:t>
      </w:r>
      <w:r>
        <w:rPr>
          <w:rFonts w:hint="eastAsia"/>
          <w:lang w:val="en-US" w:eastAsia="zh-CN"/>
        </w:rPr>
        <w:t>4</w:t>
      </w:r>
      <w:r>
        <w:t>.2 营业执照</w:t>
      </w:r>
      <w:r>
        <w:rPr>
          <w:rFonts w:hint="eastAsia"/>
          <w:lang w:eastAsia="zh-CN"/>
        </w:rPr>
        <w:t>、</w:t>
      </w:r>
      <w:r>
        <w:t>会计师事务所执业资格证书、证券期货相关业务</w:t>
      </w:r>
      <w:r>
        <w:rPr>
          <w:rFonts w:hint="eastAsia"/>
        </w:rPr>
        <w:t>资格证明文件（</w:t>
      </w:r>
      <w:r>
        <w:t>复印件加盖单位公章）</w:t>
      </w:r>
    </w:p>
    <w:p w14:paraId="4064B831">
      <w:r>
        <w:rPr>
          <w:rFonts w:hint="eastAsia"/>
        </w:rPr>
        <w:t>附件</w:t>
      </w:r>
      <w:r>
        <w:t xml:space="preserve"> </w:t>
      </w:r>
      <w:r>
        <w:rPr>
          <w:rFonts w:hint="eastAsia"/>
          <w:lang w:val="en-US" w:eastAsia="zh-CN"/>
        </w:rPr>
        <w:t>4</w:t>
      </w:r>
      <w:r>
        <w:t>.</w:t>
      </w:r>
      <w:r>
        <w:rPr>
          <w:rFonts w:hint="eastAsia"/>
          <w:lang w:val="en-US" w:eastAsia="zh-CN"/>
        </w:rPr>
        <w:t>3</w:t>
      </w:r>
      <w:r>
        <w:t xml:space="preserve"> </w:t>
      </w:r>
      <w:r>
        <w:rPr>
          <w:rFonts w:hint="eastAsia"/>
        </w:rPr>
        <w:t>最近三年内受到的监管部门处罚情况（提供中注协网站查询截图</w:t>
      </w:r>
      <w:r>
        <w:t>）</w:t>
      </w:r>
    </w:p>
    <w:p w14:paraId="28ECD2D2">
      <w:r>
        <w:rPr>
          <w:rFonts w:hint="eastAsia"/>
        </w:rPr>
        <w:t>附件</w:t>
      </w:r>
      <w:r>
        <w:t xml:space="preserve"> </w:t>
      </w:r>
      <w:r>
        <w:rPr>
          <w:rFonts w:hint="eastAsia"/>
          <w:lang w:val="en-US" w:eastAsia="zh-CN"/>
        </w:rPr>
        <w:t>5</w:t>
      </w:r>
      <w:r>
        <w:t xml:space="preserve"> </w:t>
      </w:r>
      <w:r>
        <w:rPr>
          <w:rFonts w:hint="eastAsia"/>
        </w:rPr>
        <w:t>近三年与本次招标书中要求的同类业绩和合同履行情况</w:t>
      </w:r>
    </w:p>
    <w:p w14:paraId="0A4029D0">
      <w:r>
        <w:rPr>
          <w:rFonts w:hint="eastAsia"/>
        </w:rPr>
        <w:t>附件</w:t>
      </w:r>
      <w:r>
        <w:t xml:space="preserve"> </w:t>
      </w:r>
      <w:r>
        <w:rPr>
          <w:rFonts w:hint="eastAsia"/>
          <w:lang w:val="en-US" w:eastAsia="zh-CN"/>
        </w:rPr>
        <w:t>6</w:t>
      </w:r>
      <w:r>
        <w:t xml:space="preserve"> 组织机构、人员情况</w:t>
      </w:r>
    </w:p>
    <w:p w14:paraId="7865F9B4">
      <w:r>
        <w:rPr>
          <w:rFonts w:hint="eastAsia"/>
        </w:rPr>
        <w:t>附件</w:t>
      </w:r>
      <w:r>
        <w:t xml:space="preserve"> </w:t>
      </w:r>
      <w:r>
        <w:rPr>
          <w:rFonts w:hint="eastAsia"/>
          <w:lang w:val="en-US" w:eastAsia="zh-CN"/>
        </w:rPr>
        <w:t>7</w:t>
      </w:r>
      <w:r>
        <w:t xml:space="preserve"> 团队配置（拟</w:t>
      </w:r>
      <w:r>
        <w:rPr>
          <w:rFonts w:hint="eastAsia"/>
          <w:lang w:val="en-US" w:eastAsia="zh-CN"/>
        </w:rPr>
        <w:t>投入到</w:t>
      </w:r>
      <w:r>
        <w:t>本项目的主要人员资格和经历）</w:t>
      </w:r>
    </w:p>
    <w:p w14:paraId="709ADDED">
      <w:r>
        <w:rPr>
          <w:rFonts w:hint="eastAsia"/>
        </w:rPr>
        <w:t>附件</w:t>
      </w:r>
      <w:r>
        <w:t xml:space="preserve"> </w:t>
      </w:r>
      <w:r>
        <w:rPr>
          <w:rFonts w:hint="eastAsia"/>
          <w:lang w:val="en-US" w:eastAsia="zh-CN"/>
        </w:rPr>
        <w:t>8</w:t>
      </w:r>
      <w:r>
        <w:t xml:space="preserve"> </w:t>
      </w:r>
      <w:r>
        <w:rPr>
          <w:rFonts w:hint="eastAsia"/>
        </w:rPr>
        <w:t>质量管理水平（提供质量管理制度及实施情况，包括但不限于项目咨询、意见分歧解决、项目质量复核、项目质量检查、质量管理缺陷识别与整改等</w:t>
      </w:r>
      <w:r>
        <w:t>5方面的政策与程序）</w:t>
      </w:r>
    </w:p>
    <w:p w14:paraId="06E8308D">
      <w:r>
        <w:rPr>
          <w:rFonts w:hint="eastAsia"/>
        </w:rPr>
        <w:t>附件</w:t>
      </w:r>
      <w:r>
        <w:t xml:space="preserve"> </w:t>
      </w:r>
      <w:r>
        <w:rPr>
          <w:rFonts w:hint="eastAsia"/>
          <w:lang w:val="en-US" w:eastAsia="zh-CN"/>
        </w:rPr>
        <w:t>9</w:t>
      </w:r>
      <w:r>
        <w:t xml:space="preserve"> </w:t>
      </w:r>
      <w:r>
        <w:rPr>
          <w:rFonts w:hint="eastAsia"/>
        </w:rPr>
        <w:t>本项目工作</w:t>
      </w:r>
      <w:r>
        <w:t>方案</w:t>
      </w:r>
    </w:p>
    <w:p w14:paraId="6EC35898">
      <w:r>
        <w:rPr>
          <w:rFonts w:hint="eastAsia"/>
        </w:rPr>
        <w:t>附件</w:t>
      </w:r>
      <w:r>
        <w:t xml:space="preserve"> </w:t>
      </w:r>
      <w:r>
        <w:rPr>
          <w:rFonts w:hint="eastAsia"/>
          <w:lang w:val="en-US" w:eastAsia="zh-CN"/>
        </w:rPr>
        <w:t>10</w:t>
      </w:r>
      <w:r>
        <w:t xml:space="preserve"> </w:t>
      </w:r>
      <w:r>
        <w:rPr>
          <w:rFonts w:hint="eastAsia"/>
        </w:rPr>
        <w:t>信息安全管理情况等证明文件</w:t>
      </w:r>
    </w:p>
    <w:p w14:paraId="05868C4F">
      <w:r>
        <w:rPr>
          <w:rFonts w:hint="eastAsia"/>
        </w:rPr>
        <w:t>附件</w:t>
      </w:r>
      <w:r>
        <w:t xml:space="preserve"> 1</w:t>
      </w:r>
      <w:r>
        <w:rPr>
          <w:rFonts w:hint="eastAsia"/>
          <w:lang w:val="en-US" w:eastAsia="zh-CN"/>
        </w:rPr>
        <w:t>1</w:t>
      </w:r>
      <w:r>
        <w:t xml:space="preserve"> </w:t>
      </w:r>
      <w:r>
        <w:rPr>
          <w:rFonts w:hint="eastAsia"/>
        </w:rPr>
        <w:t>风险承担能力水平，按照相关要求提供计提风险金或缴纳职业保险金的证明材料</w:t>
      </w:r>
    </w:p>
    <w:p w14:paraId="089AD6A9">
      <w:pPr>
        <w:rPr>
          <w:rFonts w:hint="default" w:eastAsia="宋体"/>
          <w:lang w:val="en-US" w:eastAsia="zh-CN"/>
        </w:rPr>
      </w:pPr>
      <w:r>
        <w:rPr>
          <w:rFonts w:hint="eastAsia"/>
        </w:rPr>
        <w:t>附件</w:t>
      </w:r>
      <w:r>
        <w:t xml:space="preserve"> 1</w:t>
      </w:r>
      <w:r>
        <w:rPr>
          <w:rFonts w:hint="eastAsia"/>
          <w:lang w:val="en-US" w:eastAsia="zh-CN"/>
        </w:rPr>
        <w:t>2</w:t>
      </w:r>
      <w:r>
        <w:t xml:space="preserve"> 有利于本项目进行的其他相关资料及建议</w:t>
      </w:r>
      <w:r>
        <w:rPr>
          <w:rFonts w:hint="eastAsia"/>
          <w:lang w:eastAsia="zh-CN"/>
        </w:rPr>
        <w:t>（</w:t>
      </w:r>
      <w:r>
        <w:rPr>
          <w:rFonts w:hint="eastAsia"/>
          <w:lang w:val="en-US" w:eastAsia="zh-CN"/>
        </w:rPr>
        <w:t>如有，可选）</w:t>
      </w:r>
    </w:p>
    <w:p w14:paraId="0B621919">
      <w:pPr>
        <w:pStyle w:val="4"/>
      </w:pPr>
      <w:bookmarkStart w:id="25" w:name="_Toc21251"/>
      <w:r>
        <w:t>11．投标书格式</w:t>
      </w:r>
      <w:bookmarkEnd w:id="25"/>
    </w:p>
    <w:p w14:paraId="3580E6DF">
      <w:r>
        <w:t>11.1 投标人应按招标书附件中提供的投标书格式逐项填写并提交相应证明资料。</w:t>
      </w:r>
    </w:p>
    <w:p w14:paraId="15FFEB03">
      <w:pPr>
        <w:pStyle w:val="4"/>
      </w:pPr>
      <w:bookmarkStart w:id="26" w:name="_Toc16743"/>
      <w:r>
        <w:t>12．投标报价</w:t>
      </w:r>
      <w:bookmarkEnd w:id="26"/>
    </w:p>
    <w:p w14:paraId="7BEE20A7">
      <w:r>
        <w:t>12.1 各投标人根据本单位情况进行报价。</w:t>
      </w:r>
    </w:p>
    <w:p w14:paraId="5717FE71">
      <w:r>
        <w:t>12.2 投标人对一种投标服务只允许有一个报价，招标人不接受有任何选择的报价，同时不接受有条件的优惠报价。</w:t>
      </w:r>
    </w:p>
    <w:p w14:paraId="0DA42471">
      <w:r>
        <w:t>12.3 所有投标按规定以人民币报价。</w:t>
      </w:r>
    </w:p>
    <w:p w14:paraId="2F71BDC6">
      <w:r>
        <w:rPr>
          <w:rFonts w:hint="eastAsia"/>
        </w:rPr>
        <w:t>12.4 投标人不得以低于成本的报价竞标。如评标委员会认为某投标人的报价明显低于其他通过符合性审查投标人的报价，有可能影响服务质量或者不能诚信履约的，有权要求其在评标现场提供书面说明及相关证明材料；不能证明其报价合理性的，评标委员会有权将其作为无效投标处理。</w:t>
      </w:r>
    </w:p>
    <w:p w14:paraId="5ABA0030">
      <w:pPr>
        <w:pStyle w:val="4"/>
      </w:pPr>
      <w:bookmarkStart w:id="27" w:name="_Toc25425"/>
      <w:r>
        <w:t>13．投标有效期</w:t>
      </w:r>
      <w:bookmarkEnd w:id="27"/>
    </w:p>
    <w:p w14:paraId="724914AD">
      <w:r>
        <w:t>13.1 投标书从递交截止之日起，投标有效期为</w:t>
      </w:r>
      <w:r>
        <w:rPr>
          <w:rFonts w:hint="eastAsia"/>
          <w:lang w:val="en-US" w:eastAsia="zh-CN"/>
        </w:rPr>
        <w:t>180</w:t>
      </w:r>
      <w:r>
        <w:t>天。投标书的有效期不足本须知规定的有效期的，将被视为非实质响应性投标文件，招标人有权拒绝其投标申请。</w:t>
      </w:r>
    </w:p>
    <w:p w14:paraId="20B907E5">
      <w:r>
        <w:t>13.2 特殊情况下，招标人可于投标书有效期满之前要求投标人同意延长有效期，要求与答复均应为书面形式。</w:t>
      </w:r>
    </w:p>
    <w:p w14:paraId="4EB001A9">
      <w:pPr>
        <w:pStyle w:val="4"/>
      </w:pPr>
      <w:bookmarkStart w:id="28" w:name="_Toc321"/>
      <w:r>
        <w:t>14．投标书的签署及规定</w:t>
      </w:r>
      <w:bookmarkEnd w:id="28"/>
    </w:p>
    <w:p w14:paraId="34B0875E">
      <w:r>
        <w:t>14.1 投标书正本须是打印文件。投标书应由投标人</w:t>
      </w:r>
      <w:r>
        <w:rPr>
          <w:rFonts w:hint="eastAsia"/>
          <w:lang w:eastAsia="zh-CN"/>
        </w:rPr>
        <w:t>执行事务合伙人/单位负责人</w:t>
      </w:r>
      <w:r>
        <w:t>或经</w:t>
      </w:r>
      <w:r>
        <w:rPr>
          <w:rFonts w:hint="eastAsia"/>
          <w:lang w:eastAsia="zh-CN"/>
        </w:rPr>
        <w:t>执行事务合伙人/单位负责人</w:t>
      </w:r>
      <w:r>
        <w:t>正式授权的投标人代表在“招标书”要求的地方签字并加盖印章。一旦正本和副本有差异，以正本为准。</w:t>
      </w:r>
    </w:p>
    <w:p w14:paraId="1168CBDF">
      <w:r>
        <w:t>14.2 除投标人对错处作必要修改外，投标书中不许有加行、涂抹或改写。若有修改须由签署投标书的人在旁边签字才有效。</w:t>
      </w:r>
    </w:p>
    <w:p w14:paraId="0FF28440">
      <w:r>
        <w:t>14.3 招标人拒绝接受以电话、传真形式的投标书。</w:t>
      </w:r>
    </w:p>
    <w:p w14:paraId="74A2BE21">
      <w:pPr>
        <w:pStyle w:val="3"/>
        <w:ind w:firstLine="560"/>
        <w:rPr>
          <w:b/>
        </w:rPr>
      </w:pPr>
      <w:bookmarkStart w:id="29" w:name="_Toc31640"/>
      <w:r>
        <w:rPr>
          <w:rFonts w:hint="eastAsia"/>
        </w:rPr>
        <w:t>四、投标书的递交</w:t>
      </w:r>
      <w:bookmarkEnd w:id="29"/>
    </w:p>
    <w:p w14:paraId="35B0E53E">
      <w:pPr>
        <w:pStyle w:val="4"/>
      </w:pPr>
      <w:bookmarkStart w:id="30" w:name="_Toc12946"/>
      <w:r>
        <w:t>15．投标书的数量、包装和标记</w:t>
      </w:r>
      <w:bookmarkEnd w:id="30"/>
    </w:p>
    <w:p w14:paraId="422667FC">
      <w:r>
        <w:t>15.1 投标人应提交一套正本“投标书”</w:t>
      </w:r>
      <w:r>
        <w:rPr>
          <w:rFonts w:hint="eastAsia"/>
        </w:rPr>
        <w:t>和</w:t>
      </w:r>
      <w:r>
        <w:rPr>
          <w:rFonts w:hint="eastAsia"/>
          <w:lang w:val="en-US" w:eastAsia="zh-CN"/>
        </w:rPr>
        <w:t>一</w:t>
      </w:r>
      <w:r>
        <w:t>套副本“投标文件”。每套“投标文件”封面的右上角应标明“正本”或“副本”。一旦正本与副本不符，以正本为准。</w:t>
      </w:r>
    </w:p>
    <w:p w14:paraId="79CF60B7">
      <w:r>
        <w:t>15.2 投标人应将投标书正本和副本用信封或文件盒（箱）密封包装于一件包装内，封口处应有投标单位公章，封皮正面标明项目名称、投标人名称。</w:t>
      </w:r>
    </w:p>
    <w:p w14:paraId="7DF88459">
      <w:r>
        <w:t>15.3 每一密封信封上注明</w:t>
      </w:r>
      <w:r>
        <w:rPr>
          <w:b/>
        </w:rPr>
        <w:t>“开标之前不准启封”</w:t>
      </w:r>
      <w:r>
        <w:t>的字样。</w:t>
      </w:r>
    </w:p>
    <w:p w14:paraId="25977024">
      <w:r>
        <w:t>15.4 如投标书由专人送交，投标人应将投标书按上述规定进行密封和标记后，按</w:t>
      </w:r>
      <w:r>
        <w:rPr>
          <w:rFonts w:hint="eastAsia"/>
          <w:lang w:val="en-US" w:eastAsia="zh-CN"/>
        </w:rPr>
        <w:t>招标公告中</w:t>
      </w:r>
      <w:r>
        <w:t>注明的地址送达招标人。</w:t>
      </w:r>
    </w:p>
    <w:p w14:paraId="415131C1">
      <w:r>
        <w:t>15.5 如果未按上述规定进行密封和标记，招标人对投标书的误投或提前拆封不负责任。</w:t>
      </w:r>
    </w:p>
    <w:p w14:paraId="1D1670E2">
      <w:pPr>
        <w:pStyle w:val="4"/>
      </w:pPr>
      <w:bookmarkStart w:id="31" w:name="_Toc29784"/>
      <w:r>
        <w:t>16．投标书递交截止时间</w:t>
      </w:r>
      <w:bookmarkEnd w:id="31"/>
    </w:p>
    <w:p w14:paraId="73411896">
      <w:r>
        <w:t>16.1 所有投标书不论派人送交或是通过邮寄递交，都必须按“</w:t>
      </w:r>
      <w:r>
        <w:rPr>
          <w:rFonts w:hint="eastAsia"/>
          <w:lang w:val="en-US" w:eastAsia="zh-CN"/>
        </w:rPr>
        <w:t>招标公告</w:t>
      </w:r>
      <w:r>
        <w:t>”中规定的投标截止时间之前送达开标地点。</w:t>
      </w:r>
    </w:p>
    <w:p w14:paraId="2B588A35">
      <w:r>
        <w:t>16.2 出现第 7.3 款因招标书的修改推迟投标截止日期时，则按招标人修改通知规定的时间递交。</w:t>
      </w:r>
    </w:p>
    <w:p w14:paraId="1A7F4082">
      <w:pPr>
        <w:pStyle w:val="4"/>
      </w:pPr>
      <w:bookmarkStart w:id="32" w:name="_Toc12504"/>
      <w:r>
        <w:t>17．迟交的投标书</w:t>
      </w:r>
      <w:bookmarkEnd w:id="32"/>
    </w:p>
    <w:p w14:paraId="681C8A70">
      <w:r>
        <w:t>17.1 招标人将拒绝接受并原封退回在投标书递交截止时间后递交的任何投标书。</w:t>
      </w:r>
    </w:p>
    <w:p w14:paraId="7ABA7FFC">
      <w:pPr>
        <w:pStyle w:val="4"/>
      </w:pPr>
      <w:bookmarkStart w:id="33" w:name="_Toc5138"/>
      <w:r>
        <w:t>18．投标书的撤销</w:t>
      </w:r>
      <w:bookmarkEnd w:id="33"/>
    </w:p>
    <w:p w14:paraId="673D9DDA">
      <w:r>
        <w:t>18.1 投标人在提交投标书后可以修改或撤回其申请，但投标人必须在规定的投标截止期之前将修改或撤回的书面通知递交招标人。且该通知需经正式授权的投标人代表签字方为有效。</w:t>
      </w:r>
    </w:p>
    <w:p w14:paraId="3E048785">
      <w:r>
        <w:t>18.2 投标人不得在投标书递交截止时间后至投标书有效期期满前撤销其投标书。</w:t>
      </w:r>
    </w:p>
    <w:p w14:paraId="2E678A75">
      <w:r>
        <w:t>18.3 投标人的修改或撤回通知应按本须知第 15 条规定编制、密封、标记和递交。</w:t>
      </w:r>
    </w:p>
    <w:p w14:paraId="509F711C">
      <w:pPr>
        <w:pStyle w:val="3"/>
        <w:ind w:firstLine="560"/>
        <w:rPr>
          <w:b/>
        </w:rPr>
      </w:pPr>
      <w:bookmarkStart w:id="34" w:name="_Toc1445"/>
      <w:r>
        <w:rPr>
          <w:rFonts w:hint="eastAsia"/>
        </w:rPr>
        <w:t>五、开标及评标</w:t>
      </w:r>
      <w:bookmarkEnd w:id="34"/>
    </w:p>
    <w:p w14:paraId="2EDD2323">
      <w:pPr>
        <w:pStyle w:val="4"/>
      </w:pPr>
      <w:bookmarkStart w:id="35" w:name="_Toc28378"/>
      <w:r>
        <w:t>19．开标</w:t>
      </w:r>
      <w:bookmarkEnd w:id="35"/>
    </w:p>
    <w:p w14:paraId="586BFD40">
      <w:pPr>
        <w:shd w:val="clear"/>
        <w:rPr>
          <w:highlight w:val="none"/>
        </w:rPr>
      </w:pPr>
      <w:r>
        <w:t>19.1 招标人在</w:t>
      </w:r>
      <w:r>
        <w:rPr>
          <w:rFonts w:hint="eastAsia"/>
        </w:rPr>
        <w:t>招标公告</w:t>
      </w:r>
      <w:r>
        <w:t>规定的投标截止时间的同一时间和</w:t>
      </w:r>
      <w:r>
        <w:rPr>
          <w:rFonts w:hint="eastAsia"/>
        </w:rPr>
        <w:t>招标公告</w:t>
      </w:r>
      <w:r>
        <w:t>预先确定的地点组织开标。开标时由公</w:t>
      </w:r>
      <w:r>
        <w:rPr>
          <w:highlight w:val="none"/>
        </w:rPr>
        <w:t>司</w:t>
      </w:r>
      <w:r>
        <w:rPr>
          <w:rFonts w:hint="eastAsia"/>
          <w:highlight w:val="none"/>
          <w:shd w:val="clear"/>
          <w:lang w:val="en-US" w:eastAsia="zh-CN"/>
        </w:rPr>
        <w:t>董事会审计委员会委员</w:t>
      </w:r>
      <w:r>
        <w:rPr>
          <w:highlight w:val="none"/>
        </w:rPr>
        <w:t>作为开标监督代表参加。</w:t>
      </w:r>
    </w:p>
    <w:p w14:paraId="73738A80">
      <w:pPr>
        <w:shd w:val="clear"/>
        <w:rPr>
          <w:highlight w:val="none"/>
        </w:rPr>
      </w:pPr>
      <w:r>
        <w:rPr>
          <w:highlight w:val="none"/>
        </w:rPr>
        <w:t>19.2 开标时，由监督代表检查投标书的密封情况，经确认无误后，由招标人当众宣读投标人名称、投标价格等。对于投标人在投标截止期前递交的投标价格及投标声明，在开标时当众宣读，评标时有效。未宣读的投标价格、投标声明等实质内容，评标时不予承认。</w:t>
      </w:r>
    </w:p>
    <w:p w14:paraId="3BA6C52D">
      <w:pPr>
        <w:pStyle w:val="4"/>
        <w:shd w:val="clear"/>
        <w:rPr>
          <w:highlight w:val="none"/>
        </w:rPr>
      </w:pPr>
      <w:bookmarkStart w:id="36" w:name="_Toc2652"/>
      <w:r>
        <w:rPr>
          <w:highlight w:val="none"/>
        </w:rPr>
        <w:t>20．组建评标委员会</w:t>
      </w:r>
      <w:bookmarkEnd w:id="36"/>
    </w:p>
    <w:p w14:paraId="6830F4C9">
      <w:pPr>
        <w:shd w:val="clear"/>
        <w:rPr>
          <w:highlight w:val="none"/>
        </w:rPr>
      </w:pPr>
      <w:r>
        <w:rPr>
          <w:highlight w:val="none"/>
        </w:rPr>
        <w:t>20.1 招标人将根据本次招标项下服务的特点，按照有关法规组建评标委员会。</w:t>
      </w:r>
    </w:p>
    <w:p w14:paraId="21B9A125">
      <w:pPr>
        <w:shd w:val="clear"/>
      </w:pPr>
      <w:r>
        <w:rPr>
          <w:highlight w:val="none"/>
        </w:rPr>
        <w:t>20.2 评标委员会成员由</w:t>
      </w:r>
      <w:r>
        <w:rPr>
          <w:rFonts w:hint="eastAsia"/>
          <w:highlight w:val="none"/>
        </w:rPr>
        <w:t>公司</w:t>
      </w:r>
      <w:r>
        <w:rPr>
          <w:rFonts w:hint="eastAsia"/>
          <w:highlight w:val="none"/>
          <w:shd w:val="clear"/>
          <w:lang w:val="en-US" w:eastAsia="zh-CN"/>
        </w:rPr>
        <w:t>董事会审计委员会委员</w:t>
      </w:r>
      <w:r>
        <w:rPr>
          <w:rFonts w:hint="eastAsia"/>
        </w:rPr>
        <w:t>、</w:t>
      </w:r>
      <w:r>
        <w:t>公司高管</w:t>
      </w:r>
      <w:r>
        <w:rPr>
          <w:rFonts w:hint="eastAsia"/>
        </w:rPr>
        <w:t>及业务部门</w:t>
      </w:r>
      <w:r>
        <w:t>相关人员组成。</w:t>
      </w:r>
    </w:p>
    <w:p w14:paraId="65B48B6E">
      <w:pPr>
        <w:pStyle w:val="4"/>
      </w:pPr>
      <w:bookmarkStart w:id="37" w:name="_Toc16291"/>
      <w:r>
        <w:t>21．对投标书的审查和响应性的确定</w:t>
      </w:r>
      <w:bookmarkEnd w:id="37"/>
    </w:p>
    <w:p w14:paraId="3A5EF0B2">
      <w:pPr>
        <w:rPr>
          <w:rFonts w:hint="eastAsia"/>
        </w:rPr>
      </w:pPr>
      <w:r>
        <w:t xml:space="preserve">21.1 </w:t>
      </w:r>
      <w:r>
        <w:rPr>
          <w:rFonts w:hint="eastAsia"/>
        </w:rPr>
        <w:t>本次公开招标采用资格后审方式。评标委员会将在初步评审阶段对投标人的资格证明文件（附件3）进行严格审查，未通过资格审查的投标将被否决，不进入后续详细评审。</w:t>
      </w:r>
    </w:p>
    <w:p w14:paraId="14A43409">
      <w:r>
        <w:rPr>
          <w:rFonts w:hint="eastAsia"/>
        </w:rPr>
        <w:t>同时，评标委员会将审查投标书是否完整，是否有计算错误，投标书是否合格地签署。“投标书”属下列情况之一的，招标人有权拒绝其投标：</w:t>
      </w:r>
    </w:p>
    <w:p w14:paraId="719CBF08">
      <w:r>
        <w:rPr>
          <w:rFonts w:hint="eastAsia"/>
        </w:rPr>
        <w:t>（</w:t>
      </w:r>
      <w:r>
        <w:t>1）逾期送达的；</w:t>
      </w:r>
    </w:p>
    <w:p w14:paraId="2A18F514">
      <w:r>
        <w:rPr>
          <w:rFonts w:hint="eastAsia"/>
        </w:rPr>
        <w:t>（</w:t>
      </w:r>
      <w:r>
        <w:t>2）未加盖投标人公章的；</w:t>
      </w:r>
    </w:p>
    <w:p w14:paraId="39262256">
      <w:r>
        <w:rPr>
          <w:rFonts w:hint="eastAsia"/>
        </w:rPr>
        <w:t>（</w:t>
      </w:r>
      <w:r>
        <w:t>3）无投标人</w:t>
      </w:r>
      <w:r>
        <w:rPr>
          <w:rFonts w:hint="eastAsia"/>
          <w:lang w:eastAsia="zh-CN"/>
        </w:rPr>
        <w:t>执行事务合伙人/单位负责人</w:t>
      </w:r>
      <w:r>
        <w:t>或</w:t>
      </w:r>
      <w:r>
        <w:rPr>
          <w:rFonts w:hint="eastAsia"/>
          <w:lang w:eastAsia="zh-CN"/>
        </w:rPr>
        <w:t>执行事务合伙人/单位负责人</w:t>
      </w:r>
      <w:r>
        <w:t>授权人签字的；</w:t>
      </w:r>
    </w:p>
    <w:p w14:paraId="73EE08AB">
      <w:r>
        <w:rPr>
          <w:rFonts w:hint="eastAsia"/>
        </w:rPr>
        <w:t>（</w:t>
      </w:r>
      <w:r>
        <w:t>4）违反投标和评标纪律的；</w:t>
      </w:r>
    </w:p>
    <w:p w14:paraId="1BD0E139">
      <w:r>
        <w:rPr>
          <w:rFonts w:hint="eastAsia"/>
        </w:rPr>
        <w:t>（</w:t>
      </w:r>
      <w:r>
        <w:t>5）违反招标书中有关规定的。</w:t>
      </w:r>
    </w:p>
    <w:p w14:paraId="4328C4B9">
      <w:r>
        <w:t>21.2 投标书中算术错误将按以下方法更正：投标书中“投标一览表”（报价表）内容与投标书中明细表内容不一致的，以“投标一览表”（报价表）为准；若用文字表示的数值与数字表示的数值不一致，以文字表示的数值为准。对不同文字文本投标书的解释发生异议的，以中文文本为准。如果投标人不接受对其错误的更改，其投标将被拒绝。</w:t>
      </w:r>
    </w:p>
    <w:p w14:paraId="366BED8E">
      <w:r>
        <w:t>21.3 评标委员会将确定每一投标人是否对《招标书》的要求作出了实质性的响应，而没有重大偏离。实质性响应的投标书是指投标书符合招标书的所有条款、条件和规定且没有重大偏离或保留。重大偏离或保留系指影响到招标书规定的服务范围、质量，或限制了招标人的权力和投标人的义务的规定，而纠正这些偏离将影响到其他提交实质性响应投标书的投标人的公平竞争地位。</w:t>
      </w:r>
    </w:p>
    <w:p w14:paraId="0B8E46F1">
      <w:r>
        <w:t>21.4 评标委员会判断投标书的响应性仅基于投标书本身而不靠外部证据。</w:t>
      </w:r>
    </w:p>
    <w:p w14:paraId="06AFCA79">
      <w:r>
        <w:t>21.5 评标委员会有权拒绝被确定为非实质性响应的投标书，投标人不能通过修正或撤销不符之处而使其投标书成为实质性响应的投标书。</w:t>
      </w:r>
    </w:p>
    <w:p w14:paraId="2E8F3259">
      <w:r>
        <w:t>21.6 开标、评标之后，直到授予中标人合同止，凡与本次评标有关人员对属于审查、澄清、评价和比较投标的有关资料以及确定中标人意向等，均不得向投标人或其他无关的人员透露。</w:t>
      </w:r>
    </w:p>
    <w:p w14:paraId="0B5CE5F7">
      <w:r>
        <w:t>21.7 在评标期间，投标人试图影响招标人和评标委员会的任何活动，将导致其投标被拒绝，并承担相应的法律责任。</w:t>
      </w:r>
    </w:p>
    <w:p w14:paraId="63487BDE">
      <w:pPr>
        <w:pStyle w:val="4"/>
      </w:pPr>
      <w:bookmarkStart w:id="38" w:name="_Toc8411"/>
      <w:r>
        <w:t>22．投标书的评审和比较</w:t>
      </w:r>
      <w:bookmarkEnd w:id="38"/>
    </w:p>
    <w:p w14:paraId="5146EAE3">
      <w:r>
        <w:t>22.1 评标委员会将对有效的投标书进行评审和比较。</w:t>
      </w:r>
    </w:p>
    <w:p w14:paraId="2BBB7A58">
      <w:pPr>
        <w:pStyle w:val="7"/>
      </w:pPr>
      <w:r>
        <w:t>22.2 评标委员会将综合考虑投标人</w:t>
      </w:r>
      <w:r>
        <w:rPr>
          <w:rFonts w:hint="eastAsia"/>
        </w:rPr>
        <w:t>的资质条件、执业记录、质量管理水平、工作方案、人力及其他资源配备、信息安全管理、风险承担能力水平等情况</w:t>
      </w:r>
      <w:r>
        <w:t>。</w:t>
      </w:r>
    </w:p>
    <w:p w14:paraId="27F61BD4">
      <w:pPr>
        <w:pStyle w:val="4"/>
      </w:pPr>
      <w:bookmarkStart w:id="39" w:name="_Toc28857"/>
      <w:r>
        <w:t>23．评标原则及方法</w:t>
      </w:r>
      <w:bookmarkEnd w:id="39"/>
    </w:p>
    <w:p w14:paraId="08B96CE0">
      <w:r>
        <w:t>23.1 评标委员会将遵循公开、公平、公正和择优的原则进行评审。对所有投标人的投标书采用相同的标准进行综合评审。</w:t>
      </w:r>
    </w:p>
    <w:p w14:paraId="60E1C5E8">
      <w:r>
        <w:t>23.2 评标严格按照有关法律规定的有关评标要求，以及招标书的要求和条件进行。评审方法详见第五部分评分方法和标准。</w:t>
      </w:r>
    </w:p>
    <w:p w14:paraId="3A5DF62F">
      <w:pPr>
        <w:pStyle w:val="4"/>
      </w:pPr>
      <w:bookmarkStart w:id="40" w:name="_Toc638"/>
      <w:r>
        <w:t>24．保密</w:t>
      </w:r>
      <w:bookmarkEnd w:id="40"/>
    </w:p>
    <w:p w14:paraId="30902E5E">
      <w:r>
        <w:t>24.1 有关评标的任何情况，如文件的审查、澄清、承诺、评审和比较以及有关授予合同的意向等均不得透露给任何其他投标人。</w:t>
      </w:r>
    </w:p>
    <w:p w14:paraId="7BD88A80">
      <w:r>
        <w:t>24.2 投标人不得以任何方式干扰招标人和评标委员会的评审活动，否则其投标无效并追究其法律责任。</w:t>
      </w:r>
    </w:p>
    <w:p w14:paraId="6C9F5B18">
      <w:pPr>
        <w:pStyle w:val="3"/>
        <w:ind w:firstLine="560"/>
        <w:rPr>
          <w:b/>
        </w:rPr>
      </w:pPr>
      <w:bookmarkStart w:id="41" w:name="_Toc30022"/>
      <w:r>
        <w:rPr>
          <w:rFonts w:hint="eastAsia"/>
        </w:rPr>
        <w:t>六、授予合同</w:t>
      </w:r>
      <w:bookmarkEnd w:id="41"/>
    </w:p>
    <w:p w14:paraId="579B48CF">
      <w:pPr>
        <w:pStyle w:val="4"/>
      </w:pPr>
      <w:bookmarkStart w:id="42" w:name="_Toc24599"/>
      <w:r>
        <w:t>25．中标</w:t>
      </w:r>
      <w:bookmarkEnd w:id="42"/>
    </w:p>
    <w:p w14:paraId="20B2DEC2">
      <w:r>
        <w:t>25.1 合同将授予其投标书符合招标书要求、并能圆满地履行合同的，对招标人最为有利的中标候选人。</w:t>
      </w:r>
    </w:p>
    <w:p w14:paraId="74AAFEA4">
      <w:r>
        <w:t xml:space="preserve">25.2 评标结束后 </w:t>
      </w:r>
      <w:r>
        <w:rPr>
          <w:rFonts w:hint="eastAsia"/>
          <w:lang w:val="en-US" w:eastAsia="zh-CN"/>
        </w:rPr>
        <w:t>180</w:t>
      </w:r>
      <w:r>
        <w:t xml:space="preserve"> 日内，如果预中标人不能按投标书中承诺的条件履行承诺行为，招标人有权选择得分排序次之的投标人作为新的中标人，依次类推。</w:t>
      </w:r>
    </w:p>
    <w:p w14:paraId="06D1368B">
      <w:r>
        <w:t>25.3 为保证服务质量确能支撑公司 202</w:t>
      </w:r>
      <w:r>
        <w:rPr>
          <w:rFonts w:hint="eastAsia"/>
          <w:lang w:val="en-US" w:eastAsia="zh-CN"/>
        </w:rPr>
        <w:t>6</w:t>
      </w:r>
      <w:r>
        <w:t xml:space="preserve"> 年度财务报表审计和内控审计顺利进行，如招标人对中标候选人的履约能力存在合理怀疑，招标人有权要求其提供进一步的服务能力证明或相关支持材料。招标人要求中标候选人提供补充证明文件不代表该中标候选人已经中标，是否确认中标以招标人向中标人发送中标通知书并与其签订服务协议为准。</w:t>
      </w:r>
    </w:p>
    <w:p w14:paraId="436FE257">
      <w:pPr>
        <w:pStyle w:val="4"/>
      </w:pPr>
      <w:bookmarkStart w:id="43" w:name="_Toc25564"/>
      <w:r>
        <w:t>26．接受和拒绝任何或所有投标的权力</w:t>
      </w:r>
      <w:bookmarkEnd w:id="43"/>
    </w:p>
    <w:p w14:paraId="30C8E78F">
      <w:r>
        <w:t>26.1 为维护利益，招标人在评标前仍有选择或拒绝任何或全部投标的权力，并对所采取的行为不做任何解释。</w:t>
      </w:r>
    </w:p>
    <w:p w14:paraId="313B95C0">
      <w:pPr>
        <w:pStyle w:val="4"/>
      </w:pPr>
      <w:bookmarkStart w:id="44" w:name="_Toc8914"/>
      <w:r>
        <w:t>27．中标通知</w:t>
      </w:r>
      <w:bookmarkEnd w:id="44"/>
    </w:p>
    <w:p w14:paraId="4C8407EA">
      <w:pPr>
        <w:rPr>
          <w:rFonts w:hint="eastAsia"/>
        </w:rPr>
      </w:pPr>
      <w:r>
        <w:rPr>
          <w:rFonts w:hint="eastAsia"/>
        </w:rPr>
        <w:t>27.1 招标人在确认中标结果后，将在公司官方网站（www.powerhf.com）</w:t>
      </w:r>
      <w:r>
        <w:rPr>
          <w:rFonts w:hint="eastAsia"/>
          <w:lang w:eastAsia="zh-CN"/>
        </w:rPr>
        <w:t>“</w:t>
      </w:r>
      <w:r>
        <w:rPr>
          <w:rFonts w:hint="eastAsia"/>
          <w:lang w:val="en-US" w:eastAsia="zh-CN"/>
        </w:rPr>
        <w:t>采购招标”栏目</w:t>
      </w:r>
      <w:r>
        <w:rPr>
          <w:rFonts w:hint="eastAsia"/>
        </w:rPr>
        <w:t>发布中标结果公告。公告期满且无异议后，招标人将向中标人发出书面《中标通知书》。</w:t>
      </w:r>
    </w:p>
    <w:p w14:paraId="7E657F73">
      <w:pPr>
        <w:rPr>
          <w:rFonts w:hint="eastAsia"/>
        </w:rPr>
      </w:pPr>
      <w:r>
        <w:rPr>
          <w:rFonts w:hint="eastAsia"/>
        </w:rPr>
        <w:t>27.2 评标结果将作为签订服务协议的依据，招标人在履行上市公司审批程序后再予实施签约等工作。</w:t>
      </w:r>
    </w:p>
    <w:p w14:paraId="4D0C1E2A">
      <w:pPr>
        <w:rPr>
          <w:rFonts w:hint="eastAsia"/>
        </w:rPr>
      </w:pPr>
      <w:r>
        <w:rPr>
          <w:rFonts w:hint="eastAsia"/>
        </w:rPr>
        <w:t>27.3 评标委员会推荐的排名第二的中标候选人将作为本项目的候补备选单位。若中标人放弃中标或因故无法履行合同，招标人有权顺延确定该候补单位为中标人，或重新开展选聘工作。</w:t>
      </w:r>
    </w:p>
    <w:p w14:paraId="7010DC44">
      <w:pPr>
        <w:rPr>
          <w:b/>
        </w:rPr>
      </w:pPr>
      <w:r>
        <w:rPr>
          <w:rFonts w:hint="eastAsia"/>
        </w:rPr>
        <w:t>27.4 对未中标人，招标人对其未中标原因不做出解释，同时亦不退还投标书。未中标人的相关信息及投标资料将记入招标人的中介机构库，作为后续选聘的参考。</w:t>
      </w:r>
    </w:p>
    <w:p w14:paraId="488FD355">
      <w:pPr>
        <w:pStyle w:val="4"/>
      </w:pPr>
      <w:bookmarkStart w:id="45" w:name="_Toc592"/>
      <w:r>
        <w:t>28．服务费</w:t>
      </w:r>
      <w:bookmarkEnd w:id="45"/>
    </w:p>
    <w:p w14:paraId="2F4B59D6">
      <w:pPr>
        <w:rPr>
          <w:rFonts w:hint="eastAsia"/>
        </w:rPr>
      </w:pPr>
      <w:r>
        <w:rPr>
          <w:rFonts w:hint="eastAsia"/>
        </w:rPr>
        <w:t>本项目各投标人不需缴纳投标保证金以及中标服务费。</w:t>
      </w:r>
    </w:p>
    <w:p w14:paraId="0281C6AB">
      <w:pPr>
        <w:pStyle w:val="3"/>
        <w:ind w:firstLine="560"/>
        <w:rPr>
          <w:rFonts w:hint="eastAsia"/>
          <w:highlight w:val="none"/>
          <w:lang w:val="en-US" w:eastAsia="zh-CN"/>
        </w:rPr>
      </w:pPr>
      <w:bookmarkStart w:id="46" w:name="_Toc23845"/>
      <w:r>
        <w:rPr>
          <w:rFonts w:hint="eastAsia"/>
          <w:highlight w:val="none"/>
          <w:lang w:val="en-US" w:eastAsia="zh-CN"/>
        </w:rPr>
        <w:t>七、合规专项承诺要求</w:t>
      </w:r>
      <w:bookmarkEnd w:id="46"/>
    </w:p>
    <w:p w14:paraId="06B3AF2C">
      <w:r>
        <w:rPr>
          <w:rFonts w:hint="eastAsia"/>
          <w:highlight w:val="none"/>
          <w:lang w:val="en-US" w:eastAsia="zh-CN"/>
        </w:rPr>
        <w:t>投标人须单独出具加盖公章的承诺书，承诺：严格遵守《国有企业、上市公司选聘会计师事务所管理办法》（财会〔2023〕4号）规定、保证审计独立性、不恶意低价竞争、不转包分包、团队人员稳定、按时保质完成审计、无条件配合监管问询、承担审计过错导致的全部损失及监管责任。</w:t>
      </w:r>
      <w:r>
        <w:br w:type="page"/>
      </w:r>
    </w:p>
    <w:p w14:paraId="58D61146">
      <w:pPr>
        <w:pStyle w:val="2"/>
        <w:ind w:firstLine="0" w:firstLineChars="0"/>
      </w:pPr>
      <w:bookmarkStart w:id="47" w:name="_Toc13676"/>
      <w:r>
        <w:rPr>
          <w:rFonts w:hint="eastAsia"/>
        </w:rPr>
        <w:t>第三部分 服务要求及内容</w:t>
      </w:r>
      <w:bookmarkEnd w:id="47"/>
    </w:p>
    <w:p w14:paraId="4F2270E3">
      <w:r>
        <w:t>1.中标单位应及时、真实、准确和完整地完成受托审计工作</w:t>
      </w:r>
      <w:r>
        <w:rPr>
          <w:rFonts w:hint="eastAsia"/>
        </w:rPr>
        <w:t>；</w:t>
      </w:r>
    </w:p>
    <w:p w14:paraId="096770A1">
      <w:r>
        <w:rPr>
          <w:rFonts w:hint="eastAsia"/>
        </w:rPr>
        <w:t>2</w:t>
      </w:r>
      <w:r>
        <w:t>.中标单位从事审计业务时，应该严格遵循有关的准则和规范，并对结论的合理性承担法律责任</w:t>
      </w:r>
      <w:r>
        <w:rPr>
          <w:rFonts w:hint="eastAsia"/>
        </w:rPr>
        <w:t>；</w:t>
      </w:r>
    </w:p>
    <w:p w14:paraId="6E871E48">
      <w:r>
        <w:rPr>
          <w:rFonts w:hint="eastAsia"/>
        </w:rPr>
        <w:t>3</w:t>
      </w:r>
      <w:r>
        <w:t>.中标单位应当遵循独立、客观、公正的原则，不得迎合委托方要求出具虚假的审计报告，不得以给予“回扣”、恶意压价等不正当竞争方式承揽业务</w:t>
      </w:r>
      <w:r>
        <w:rPr>
          <w:rFonts w:hint="eastAsia"/>
        </w:rPr>
        <w:t>；</w:t>
      </w:r>
    </w:p>
    <w:p w14:paraId="08EA560A">
      <w:r>
        <w:rPr>
          <w:rFonts w:hint="eastAsia"/>
        </w:rPr>
        <w:t>4</w:t>
      </w:r>
      <w:r>
        <w:t>.其他服务说明</w:t>
      </w:r>
      <w:r>
        <w:rPr>
          <w:rFonts w:hint="eastAsia"/>
        </w:rPr>
        <w:t>：</w:t>
      </w:r>
    </w:p>
    <w:p w14:paraId="59167BCC">
      <w:r>
        <w:rPr>
          <w:rFonts w:hint="eastAsia" w:ascii="Wingdings" w:hAnsi="Wingdings"/>
        </w:rPr>
        <w:sym w:font="Wingdings" w:char="F0D8"/>
      </w:r>
      <w:r>
        <w:t>为更好地执行预审工作，中标单位在正式审计工作开展前应进行必要的预审工作，该部分工作相关费用应包含在报价之中</w:t>
      </w:r>
      <w:r>
        <w:rPr>
          <w:rFonts w:hint="eastAsia"/>
        </w:rPr>
        <w:t>；</w:t>
      </w:r>
    </w:p>
    <w:p w14:paraId="3FDCD907">
      <w:r>
        <w:rPr>
          <w:rFonts w:hint="eastAsia" w:ascii="Wingdings" w:hAnsi="Wingdings"/>
        </w:rPr>
        <w:sym w:font="Wingdings" w:char="F0D8"/>
      </w:r>
      <w:r>
        <w:t>中标单位须根据公司要求，出具财政部、证监会、上海证券交易所等部门要求出具的各项年度审计报告</w:t>
      </w:r>
      <w:r>
        <w:rPr>
          <w:rFonts w:hint="eastAsia"/>
        </w:rPr>
        <w:t>（包括合并、母公司及子公司审计报告）</w:t>
      </w:r>
      <w:r>
        <w:t>、各项专项报告，该部分工作相关费用应包含在报价之中</w:t>
      </w:r>
      <w:r>
        <w:rPr>
          <w:rFonts w:hint="eastAsia"/>
        </w:rPr>
        <w:t>；</w:t>
      </w:r>
    </w:p>
    <w:p w14:paraId="70EE49CE">
      <w:r>
        <w:rPr>
          <w:rFonts w:hint="eastAsia" w:ascii="Wingdings" w:hAnsi="Wingdings"/>
        </w:rPr>
        <w:sym w:font="Wingdings" w:char="F0D8"/>
      </w:r>
      <w:r>
        <w:rPr>
          <w:rFonts w:hint="eastAsia"/>
        </w:rPr>
        <w:t>中标单位须根据公司要求，出具财政部、证监会、上海证券交易所等部门要求出具的年度内部控制审计报告。</w:t>
      </w:r>
    </w:p>
    <w:p w14:paraId="0D2F3C31"/>
    <w:p w14:paraId="5F793D2D"/>
    <w:p w14:paraId="4F384353"/>
    <w:p w14:paraId="14815C24"/>
    <w:p w14:paraId="619E94C3"/>
    <w:p w14:paraId="63DA0FC1"/>
    <w:p w14:paraId="4EF3E012"/>
    <w:p w14:paraId="26D18F2C"/>
    <w:p w14:paraId="6889DF3C"/>
    <w:p w14:paraId="5B9EDA15"/>
    <w:p w14:paraId="6A54EB3F"/>
    <w:p w14:paraId="2939082B"/>
    <w:p w14:paraId="5D0F23B8">
      <w:pPr>
        <w:pStyle w:val="2"/>
        <w:keepNext/>
        <w:keepLines/>
        <w:pageBreakBefore w:val="0"/>
        <w:widowControl w:val="0"/>
        <w:kinsoku/>
        <w:wordWrap/>
        <w:overflowPunct/>
        <w:topLinePunct w:val="0"/>
        <w:autoSpaceDE/>
        <w:autoSpaceDN/>
        <w:bidi w:val="0"/>
        <w:adjustRightInd w:val="0"/>
        <w:snapToGrid w:val="0"/>
        <w:spacing w:line="720" w:lineRule="auto"/>
        <w:ind w:firstLine="0" w:firstLineChars="0"/>
        <w:textAlignment w:val="auto"/>
      </w:pPr>
      <w:bookmarkStart w:id="48" w:name="_Toc13361"/>
      <w:r>
        <w:rPr>
          <w:rFonts w:hint="eastAsia"/>
        </w:rPr>
        <w:t>第四部分</w:t>
      </w:r>
      <w:r>
        <w:t xml:space="preserve"> </w:t>
      </w:r>
      <w:r>
        <w:rPr>
          <w:rFonts w:hint="eastAsia"/>
        </w:rPr>
        <w:t>投标书格式</w:t>
      </w:r>
      <w:bookmarkEnd w:id="48"/>
    </w:p>
    <w:p w14:paraId="1EE4F755">
      <w:pPr>
        <w:pStyle w:val="3"/>
        <w:ind w:firstLine="560"/>
        <w:rPr>
          <w:b/>
        </w:rPr>
      </w:pPr>
      <w:bookmarkStart w:id="49" w:name="_Toc6983"/>
      <w:r>
        <w:rPr>
          <w:rFonts w:hint="eastAsia"/>
        </w:rPr>
        <w:t>附件</w:t>
      </w:r>
      <w:r>
        <w:t>1投标申请函</w:t>
      </w:r>
      <w:bookmarkEnd w:id="49"/>
    </w:p>
    <w:p w14:paraId="79168B85"/>
    <w:p w14:paraId="16DD0F54">
      <w:pPr>
        <w:rPr>
          <w:rFonts w:hint="eastAsia" w:eastAsia="宋体"/>
          <w:lang w:eastAsia="zh-CN"/>
        </w:rPr>
      </w:pPr>
      <w:r>
        <w:rPr>
          <w:rFonts w:hint="eastAsia"/>
        </w:rPr>
        <w:t>华丰动力股份有限公司</w:t>
      </w:r>
      <w:r>
        <w:rPr>
          <w:rFonts w:hint="eastAsia"/>
          <w:lang w:eastAsia="zh-CN"/>
        </w:rPr>
        <w:t>：</w:t>
      </w:r>
    </w:p>
    <w:p w14:paraId="3BA310C4">
      <w:pPr>
        <w:rPr>
          <w:rFonts w:hint="eastAsia" w:eastAsia="宋体"/>
          <w:lang w:eastAsia="zh-CN"/>
        </w:rPr>
      </w:pPr>
      <w:r>
        <w:rPr>
          <w:rFonts w:hint="eastAsia"/>
          <w:u w:val="single"/>
        </w:rPr>
        <w:t xml:space="preserve"> </w:t>
      </w:r>
      <w:r>
        <w:rPr>
          <w:u w:val="single"/>
        </w:rPr>
        <w:t xml:space="preserve">                   </w:t>
      </w:r>
      <w:r>
        <w:t>(投标单位全称)授权</w:t>
      </w:r>
      <w:r>
        <w:rPr>
          <w:rFonts w:hint="eastAsia"/>
          <w:u w:val="single"/>
        </w:rPr>
        <w:t xml:space="preserve"> </w:t>
      </w:r>
      <w:r>
        <w:rPr>
          <w:u w:val="single"/>
        </w:rPr>
        <w:t xml:space="preserve">             </w:t>
      </w:r>
      <w:r>
        <w:t>(授权代表</w:t>
      </w:r>
      <w:r>
        <w:rPr>
          <w:rFonts w:hint="eastAsia"/>
          <w:lang w:val="en-US" w:eastAsia="zh-CN"/>
        </w:rPr>
        <w:t>姓名</w:t>
      </w:r>
      <w:r>
        <w:t>)(职务、职称)为授权代表，参加贵方组织的</w:t>
      </w:r>
      <w:r>
        <w:rPr>
          <w:rFonts w:hint="eastAsia"/>
          <w:u w:val="single"/>
          <w:lang w:val="en-US" w:eastAsia="zh-CN"/>
        </w:rPr>
        <w:t xml:space="preserve">  </w:t>
      </w:r>
      <w:r>
        <w:rPr>
          <w:u w:val="single"/>
        </w:rPr>
        <w:t>202</w:t>
      </w:r>
      <w:r>
        <w:rPr>
          <w:rFonts w:hint="eastAsia"/>
          <w:u w:val="single"/>
          <w:lang w:val="en-US" w:eastAsia="zh-CN"/>
        </w:rPr>
        <w:t>6</w:t>
      </w:r>
      <w:r>
        <w:rPr>
          <w:u w:val="single"/>
        </w:rPr>
        <w:t xml:space="preserve">年度财务报表及内部控制审计服务  </w:t>
      </w:r>
      <w:r>
        <w:t>(项目名称)投标的有关活动，并对此项目进行申请。为此</w:t>
      </w:r>
      <w:r>
        <w:rPr>
          <w:rFonts w:hint="eastAsia"/>
          <w:lang w:eastAsia="zh-CN"/>
        </w:rPr>
        <w:t>：</w:t>
      </w:r>
    </w:p>
    <w:p w14:paraId="01CE8059">
      <w:r>
        <w:t>1、提供投标须知规定的全部投标书(至少包括)</w:t>
      </w:r>
      <w:r>
        <w:rPr>
          <w:rFonts w:hint="eastAsia"/>
          <w:lang w:eastAsia="zh-CN"/>
        </w:rPr>
        <w:t>：</w:t>
      </w:r>
      <w:r>
        <w:t>正本一份，副本</w:t>
      </w:r>
      <w:r>
        <w:rPr>
          <w:rFonts w:hint="eastAsia"/>
          <w:lang w:val="en-US" w:eastAsia="zh-CN"/>
        </w:rPr>
        <w:t>一</w:t>
      </w:r>
      <w:r>
        <w:t>份。</w:t>
      </w:r>
    </w:p>
    <w:p w14:paraId="77CC03F9">
      <w:r>
        <w:t>2、投标人将按照招标书的规定履行合同责任和义务。</w:t>
      </w:r>
    </w:p>
    <w:p w14:paraId="0ADB8A16">
      <w:r>
        <w:t>3、投标人已详细审查全部投标书，包括修改投标书(如有的话)以及全部参考资料和有关附件。我们完全理解并同意放弃对这方面有不明误解的权利。</w:t>
      </w:r>
    </w:p>
    <w:p w14:paraId="1DA965CF">
      <w:r>
        <w:t xml:space="preserve">4、其投标书自递交截止之日起有效期为 </w:t>
      </w:r>
      <w:r>
        <w:rPr>
          <w:rFonts w:hint="eastAsia"/>
          <w:lang w:val="en-US" w:eastAsia="zh-CN"/>
        </w:rPr>
        <w:t>180</w:t>
      </w:r>
      <w:r>
        <w:t xml:space="preserve"> 个</w:t>
      </w:r>
      <w:r>
        <w:rPr>
          <w:rFonts w:hint="eastAsia"/>
        </w:rPr>
        <w:t>自然</w:t>
      </w:r>
      <w:r>
        <w:t>日。</w:t>
      </w:r>
    </w:p>
    <w:p w14:paraId="364DA481">
      <w:pPr>
        <w:rPr>
          <w:rFonts w:hint="eastAsia"/>
        </w:rPr>
      </w:pPr>
      <w:r>
        <w:t>5、中标投标人同意提供按照贵方可能要求的与其投标书有关的一切数据或资料，完全理解贵方不一定要接受最低费率的投标或收到的任何投标。</w:t>
      </w:r>
    </w:p>
    <w:p w14:paraId="31840918">
      <w:pPr>
        <w:keepNext w:val="0"/>
        <w:keepLines w:val="0"/>
        <w:pageBreakBefore w:val="0"/>
        <w:widowControl w:val="0"/>
        <w:kinsoku/>
        <w:wordWrap/>
        <w:overflowPunct/>
        <w:topLinePunct w:val="0"/>
        <w:autoSpaceDE/>
        <w:autoSpaceDN/>
        <w:bidi w:val="0"/>
        <w:adjustRightInd w:val="0"/>
        <w:snapToGrid w:val="0"/>
        <w:spacing w:before="157" w:beforeLines="50" w:after="157" w:afterLines="50"/>
        <w:textAlignment w:val="auto"/>
        <w:rPr>
          <w:rFonts w:hint="eastAsia"/>
        </w:rPr>
      </w:pPr>
      <w:r>
        <w:rPr>
          <w:rFonts w:hint="eastAsia"/>
        </w:rPr>
        <w:t>若我方在本次招标中最终中标，考虑到本项目以2026年度为初始服务期，后续年度将根据审计情况评估结果决定是否延续，我方特此补充承诺如下：</w:t>
      </w:r>
    </w:p>
    <w:p w14:paraId="6DCCEA61">
      <w:pPr>
        <w:rPr>
          <w:rFonts w:hint="eastAsia"/>
        </w:rPr>
      </w:pPr>
      <w:r>
        <w:rPr>
          <w:rFonts w:hint="eastAsia"/>
          <w:lang w:val="en-US" w:eastAsia="zh-CN"/>
        </w:rPr>
        <w:t>6、</w:t>
      </w:r>
      <w:r>
        <w:rPr>
          <w:rFonts w:hint="eastAsia"/>
        </w:rPr>
        <w:t>若贵方在招标结束并已履行完成公司审批程序后，因我方原因导致不能履行中标人义务的情形发生，我方将承担由此给贵方造成的一切损失。</w:t>
      </w:r>
    </w:p>
    <w:p w14:paraId="3710F3D0">
      <w:r>
        <w:rPr>
          <w:rFonts w:hint="eastAsia"/>
          <w:lang w:val="en-US" w:eastAsia="zh-CN"/>
        </w:rPr>
        <w:t>7、</w:t>
      </w:r>
      <w:r>
        <w:rPr>
          <w:rFonts w:hint="eastAsia"/>
        </w:rPr>
        <w:t>我方将与贵方协商后确定包括年度审计安排在内的所有审计计划，我方安排的审计队伍能够满足贵方在规定时间内完成年度审计现场工作的要求，并保证在连续审计期间，为贵方服务的主要审计人员保持稳定。</w:t>
      </w:r>
    </w:p>
    <w:p w14:paraId="37C2A11C">
      <w:pPr>
        <w:keepNext w:val="0"/>
        <w:keepLines w:val="0"/>
        <w:pageBreakBefore w:val="0"/>
        <w:widowControl w:val="0"/>
        <w:kinsoku/>
        <w:wordWrap/>
        <w:overflowPunct/>
        <w:topLinePunct w:val="0"/>
        <w:autoSpaceDE/>
        <w:autoSpaceDN/>
        <w:bidi w:val="0"/>
        <w:adjustRightInd w:val="0"/>
        <w:snapToGrid w:val="0"/>
        <w:spacing w:before="157" w:beforeLines="50" w:line="480" w:lineRule="auto"/>
        <w:ind w:firstLine="1680" w:firstLineChars="700"/>
        <w:textAlignment w:val="auto"/>
        <w:rPr>
          <w:rFonts w:hint="eastAsia" w:eastAsia="宋体"/>
          <w:u w:val="single"/>
          <w:lang w:eastAsia="zh-CN"/>
        </w:rPr>
      </w:pPr>
      <w:r>
        <w:rPr>
          <w:rFonts w:hint="eastAsia"/>
        </w:rPr>
        <w:t>投标人授权代表姓名、职务</w:t>
      </w:r>
      <w:r>
        <w:t>(印刷体)</w:t>
      </w:r>
      <w:r>
        <w:rPr>
          <w:rFonts w:hint="eastAsia"/>
          <w:lang w:eastAsia="zh-CN"/>
        </w:rPr>
        <w:t>：</w:t>
      </w:r>
    </w:p>
    <w:p w14:paraId="3469E321">
      <w:pPr>
        <w:spacing w:line="480" w:lineRule="auto"/>
        <w:ind w:firstLine="1680" w:firstLineChars="700"/>
        <w:rPr>
          <w:rFonts w:hint="eastAsia" w:eastAsia="宋体"/>
          <w:lang w:eastAsia="zh-CN"/>
        </w:rPr>
      </w:pPr>
      <w:r>
        <w:rPr>
          <w:rFonts w:hint="eastAsia"/>
        </w:rPr>
        <w:t>授权代表签字</w:t>
      </w:r>
      <w:r>
        <w:rPr>
          <w:rFonts w:hint="eastAsia"/>
          <w:lang w:eastAsia="zh-CN"/>
        </w:rPr>
        <w:t>：</w:t>
      </w:r>
    </w:p>
    <w:p w14:paraId="1ECE2AEC">
      <w:pPr>
        <w:spacing w:line="480" w:lineRule="auto"/>
        <w:ind w:firstLine="1680" w:firstLineChars="700"/>
      </w:pPr>
      <w:r>
        <w:rPr>
          <w:rFonts w:hint="eastAsia"/>
        </w:rPr>
        <w:t>投标人名称</w:t>
      </w:r>
      <w:r>
        <w:t>(公章)</w:t>
      </w:r>
      <w:r>
        <w:rPr>
          <w:rFonts w:hint="eastAsia"/>
        </w:rPr>
        <w:t xml:space="preserve"> </w:t>
      </w:r>
      <w:r>
        <w:t xml:space="preserve">                          </w:t>
      </w:r>
    </w:p>
    <w:p w14:paraId="5857A619">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1680" w:firstLineChars="700"/>
        <w:textAlignment w:val="auto"/>
      </w:pPr>
      <w:r>
        <w:rPr>
          <w:rFonts w:hint="eastAsia"/>
        </w:rPr>
        <w:t>日期</w:t>
      </w:r>
      <w:r>
        <w:rPr>
          <w:rFonts w:hint="eastAsia"/>
          <w:lang w:eastAsia="zh-CN"/>
        </w:rPr>
        <w:t>：</w:t>
      </w:r>
      <w:r>
        <w:t xml:space="preserve">    年</w:t>
      </w:r>
      <w:r>
        <w:rPr>
          <w:rFonts w:hint="eastAsia"/>
        </w:rPr>
        <w:t xml:space="preserve"> </w:t>
      </w:r>
      <w:r>
        <w:t xml:space="preserve">  月</w:t>
      </w:r>
      <w:r>
        <w:rPr>
          <w:rFonts w:hint="eastAsia"/>
        </w:rPr>
        <w:t xml:space="preserve"> </w:t>
      </w:r>
      <w:r>
        <w:t xml:space="preserve">  日</w:t>
      </w:r>
      <w:r>
        <w:br w:type="page"/>
      </w:r>
    </w:p>
    <w:p w14:paraId="5D8E0F61">
      <w:pPr>
        <w:pStyle w:val="3"/>
        <w:ind w:firstLine="560"/>
      </w:pPr>
      <w:bookmarkStart w:id="50" w:name="_Toc3395"/>
      <w:r>
        <w:rPr>
          <w:rFonts w:hint="eastAsia"/>
        </w:rPr>
        <w:t>附件</w:t>
      </w:r>
      <w:r>
        <w:t>2 投标一览表</w:t>
      </w:r>
      <w:bookmarkEnd w:id="50"/>
    </w:p>
    <w:p w14:paraId="79F0B35A">
      <w:r>
        <w:rPr>
          <w:rFonts w:hint="eastAsia"/>
        </w:rPr>
        <w:t>投标人名称：</w:t>
      </w:r>
    </w:p>
    <w:p w14:paraId="03CB3ABC">
      <w:r>
        <w:rPr>
          <w:rFonts w:hint="eastAsia"/>
        </w:rPr>
        <w:t>项目名称：</w:t>
      </w:r>
      <w:r>
        <w:t>202</w:t>
      </w:r>
      <w:r>
        <w:rPr>
          <w:rFonts w:hint="eastAsia"/>
          <w:lang w:val="en-US" w:eastAsia="zh-CN"/>
        </w:rPr>
        <w:t>6</w:t>
      </w:r>
      <w:r>
        <w:t>年度财务报表及内部控制审计服务</w:t>
      </w:r>
    </w:p>
    <w:p w14:paraId="66ECFF2C">
      <w:r>
        <w:rPr>
          <w:rFonts w:hint="eastAsia"/>
        </w:rPr>
        <w:t>服务名称：财务报表</w:t>
      </w:r>
      <w:r>
        <w:t>审计服务</w:t>
      </w:r>
    </w:p>
    <w:tbl>
      <w:tblPr>
        <w:tblStyle w:val="23"/>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3893"/>
        <w:gridCol w:w="1553"/>
        <w:gridCol w:w="1993"/>
      </w:tblGrid>
      <w:tr w14:paraId="766C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pct"/>
            <w:tcBorders>
              <w:top w:val="single" w:color="auto" w:sz="6" w:space="0"/>
              <w:left w:val="single" w:color="auto" w:sz="6" w:space="0"/>
              <w:bottom w:val="single" w:color="000000" w:sz="6" w:space="0"/>
              <w:right w:val="single" w:color="000000" w:sz="6" w:space="0"/>
            </w:tcBorders>
            <w:shd w:val="clear" w:color="auto" w:fill="auto"/>
            <w:vAlign w:val="center"/>
          </w:tcPr>
          <w:p w14:paraId="071AB54E">
            <w:pPr>
              <w:spacing w:line="240" w:lineRule="auto"/>
              <w:ind w:firstLine="0" w:firstLineChars="0"/>
              <w:jc w:val="center"/>
              <w:rPr>
                <w:sz w:val="21"/>
                <w:szCs w:val="21"/>
              </w:rPr>
            </w:pPr>
            <w:r>
              <w:rPr>
                <w:sz w:val="21"/>
                <w:szCs w:val="21"/>
              </w:rPr>
              <w:t>序号</w:t>
            </w:r>
          </w:p>
        </w:tc>
        <w:tc>
          <w:tcPr>
            <w:tcW w:w="2336" w:type="pct"/>
            <w:tcBorders>
              <w:top w:val="single" w:color="auto" w:sz="6" w:space="0"/>
              <w:left w:val="single" w:color="000000" w:sz="6" w:space="0"/>
              <w:bottom w:val="single" w:color="auto" w:sz="6" w:space="0"/>
              <w:right w:val="single" w:color="000000" w:sz="6" w:space="0"/>
            </w:tcBorders>
            <w:shd w:val="clear" w:color="auto" w:fill="auto"/>
            <w:vAlign w:val="center"/>
          </w:tcPr>
          <w:p w14:paraId="1C7207F4">
            <w:pPr>
              <w:spacing w:line="240" w:lineRule="auto"/>
              <w:ind w:firstLine="0" w:firstLineChars="0"/>
              <w:jc w:val="center"/>
              <w:rPr>
                <w:sz w:val="21"/>
                <w:szCs w:val="21"/>
              </w:rPr>
            </w:pPr>
            <w:r>
              <w:rPr>
                <w:sz w:val="21"/>
                <w:szCs w:val="21"/>
              </w:rPr>
              <w:t>被审计单位</w:t>
            </w:r>
          </w:p>
        </w:tc>
        <w:tc>
          <w:tcPr>
            <w:tcW w:w="932" w:type="pct"/>
            <w:tcBorders>
              <w:top w:val="single" w:color="auto" w:sz="6" w:space="0"/>
              <w:left w:val="single" w:color="000000" w:sz="6" w:space="0"/>
              <w:bottom w:val="single" w:color="auto" w:sz="6" w:space="0"/>
              <w:right w:val="single" w:color="000000" w:sz="6" w:space="0"/>
            </w:tcBorders>
            <w:shd w:val="clear" w:color="auto" w:fill="auto"/>
            <w:vAlign w:val="center"/>
          </w:tcPr>
          <w:p w14:paraId="041CC3C3">
            <w:pPr>
              <w:spacing w:line="240" w:lineRule="auto"/>
              <w:ind w:firstLine="0" w:firstLineChars="0"/>
              <w:rPr>
                <w:sz w:val="21"/>
                <w:szCs w:val="21"/>
              </w:rPr>
            </w:pPr>
            <w:r>
              <w:rPr>
                <w:sz w:val="21"/>
                <w:szCs w:val="21"/>
              </w:rPr>
              <w:t>年报审计费</w:t>
            </w:r>
            <w:r>
              <w:rPr>
                <w:rFonts w:hint="eastAsia"/>
                <w:sz w:val="21"/>
                <w:szCs w:val="21"/>
              </w:rPr>
              <w:t>用总额（万元）</w:t>
            </w:r>
          </w:p>
        </w:tc>
        <w:tc>
          <w:tcPr>
            <w:tcW w:w="1196" w:type="pct"/>
            <w:tcBorders>
              <w:top w:val="single" w:color="auto" w:sz="6" w:space="0"/>
              <w:left w:val="single" w:color="000000" w:sz="6" w:space="0"/>
              <w:bottom w:val="single" w:color="auto" w:sz="6" w:space="0"/>
              <w:right w:val="single" w:color="auto" w:sz="6" w:space="0"/>
            </w:tcBorders>
            <w:shd w:val="clear" w:color="auto" w:fill="auto"/>
            <w:vAlign w:val="center"/>
          </w:tcPr>
          <w:p w14:paraId="14CAF0CC">
            <w:pPr>
              <w:spacing w:line="240" w:lineRule="auto"/>
              <w:ind w:firstLine="0" w:firstLineChars="0"/>
              <w:jc w:val="center"/>
              <w:rPr>
                <w:sz w:val="21"/>
                <w:szCs w:val="21"/>
              </w:rPr>
            </w:pPr>
            <w:r>
              <w:rPr>
                <w:sz w:val="21"/>
                <w:szCs w:val="21"/>
              </w:rPr>
              <w:t>备注</w:t>
            </w:r>
          </w:p>
        </w:tc>
      </w:tr>
      <w:tr w14:paraId="6917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533" w:type="pct"/>
            <w:tcBorders>
              <w:top w:val="single" w:color="000000" w:sz="6" w:space="0"/>
              <w:left w:val="single" w:color="auto" w:sz="6" w:space="0"/>
              <w:bottom w:val="single" w:color="auto" w:sz="6" w:space="0"/>
              <w:right w:val="single" w:color="auto" w:sz="6" w:space="0"/>
            </w:tcBorders>
            <w:shd w:val="clear" w:color="auto" w:fill="auto"/>
            <w:vAlign w:val="center"/>
          </w:tcPr>
          <w:p w14:paraId="6051842A">
            <w:pPr>
              <w:spacing w:line="240" w:lineRule="auto"/>
              <w:ind w:firstLine="0" w:firstLineChars="0"/>
              <w:jc w:val="center"/>
              <w:rPr>
                <w:sz w:val="21"/>
                <w:szCs w:val="21"/>
              </w:rPr>
            </w:pPr>
            <w:r>
              <w:rPr>
                <w:sz w:val="21"/>
                <w:szCs w:val="21"/>
              </w:rPr>
              <w:t>1</w:t>
            </w:r>
          </w:p>
        </w:tc>
        <w:tc>
          <w:tcPr>
            <w:tcW w:w="2336" w:type="pct"/>
            <w:tcBorders>
              <w:top w:val="single" w:color="auto" w:sz="6" w:space="0"/>
              <w:left w:val="single" w:color="auto" w:sz="6" w:space="0"/>
              <w:bottom w:val="single" w:color="auto" w:sz="6" w:space="0"/>
              <w:right w:val="single" w:color="auto" w:sz="6" w:space="0"/>
            </w:tcBorders>
          </w:tcPr>
          <w:p w14:paraId="61B3500B">
            <w:pPr>
              <w:spacing w:line="240" w:lineRule="auto"/>
              <w:ind w:firstLine="0" w:firstLineChars="0"/>
              <w:rPr>
                <w:sz w:val="21"/>
                <w:szCs w:val="21"/>
              </w:rPr>
            </w:pPr>
            <w:r>
              <w:rPr>
                <w:rFonts w:hint="eastAsia"/>
                <w:sz w:val="21"/>
                <w:szCs w:val="21"/>
              </w:rPr>
              <w:t>华丰动力股份有限公司及纳入合并财务报表范围的子公司。公司合并财务报表的合并范围以控制为基础确定，所有子公司及相关二、三级子公司（包括公司所有控制的单独主体）均纳入合并财务报表。</w:t>
            </w:r>
          </w:p>
        </w:tc>
        <w:tc>
          <w:tcPr>
            <w:tcW w:w="932" w:type="pct"/>
            <w:tcBorders>
              <w:top w:val="single" w:color="auto" w:sz="6" w:space="0"/>
              <w:left w:val="single" w:color="auto" w:sz="6" w:space="0"/>
              <w:bottom w:val="single" w:color="auto" w:sz="6" w:space="0"/>
              <w:right w:val="single" w:color="auto" w:sz="6" w:space="0"/>
            </w:tcBorders>
          </w:tcPr>
          <w:p w14:paraId="0C4DBFD3">
            <w:pPr>
              <w:spacing w:line="240" w:lineRule="auto"/>
              <w:ind w:firstLine="0" w:firstLineChars="0"/>
              <w:rPr>
                <w:sz w:val="21"/>
                <w:szCs w:val="21"/>
              </w:rPr>
            </w:pPr>
          </w:p>
        </w:tc>
        <w:tc>
          <w:tcPr>
            <w:tcW w:w="1196" w:type="pct"/>
            <w:tcBorders>
              <w:top w:val="single" w:color="auto" w:sz="6" w:space="0"/>
              <w:left w:val="single" w:color="auto" w:sz="6" w:space="0"/>
              <w:bottom w:val="single" w:color="auto" w:sz="6" w:space="0"/>
              <w:right w:val="single" w:color="auto" w:sz="6" w:space="0"/>
            </w:tcBorders>
            <w:shd w:val="clear" w:color="auto" w:fill="auto"/>
          </w:tcPr>
          <w:p w14:paraId="4574829B">
            <w:pPr>
              <w:spacing w:line="240" w:lineRule="auto"/>
              <w:ind w:firstLine="0" w:firstLineChars="0"/>
              <w:rPr>
                <w:sz w:val="21"/>
                <w:szCs w:val="21"/>
              </w:rPr>
            </w:pPr>
          </w:p>
        </w:tc>
      </w:tr>
    </w:tbl>
    <w:p w14:paraId="22E533BF">
      <w:r>
        <w:rPr>
          <w:rFonts w:hint="eastAsia"/>
        </w:rPr>
        <w:t>服务名称：内控审计</w:t>
      </w:r>
    </w:p>
    <w:tbl>
      <w:tblPr>
        <w:tblStyle w:val="23"/>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921"/>
        <w:gridCol w:w="1541"/>
        <w:gridCol w:w="1991"/>
      </w:tblGrid>
      <w:tr w14:paraId="1F97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43FD49B1">
            <w:pPr>
              <w:spacing w:line="240" w:lineRule="auto"/>
              <w:ind w:firstLine="0" w:firstLineChars="0"/>
              <w:jc w:val="center"/>
              <w:rPr>
                <w:sz w:val="21"/>
                <w:szCs w:val="21"/>
              </w:rPr>
            </w:pPr>
            <w:r>
              <w:rPr>
                <w:sz w:val="21"/>
                <w:szCs w:val="21"/>
              </w:rPr>
              <w:t>序号</w:t>
            </w:r>
          </w:p>
        </w:tc>
        <w:tc>
          <w:tcPr>
            <w:tcW w:w="3921" w:type="dxa"/>
            <w:tcBorders>
              <w:top w:val="single" w:color="auto" w:sz="6" w:space="0"/>
              <w:left w:val="single" w:color="auto" w:sz="6" w:space="0"/>
              <w:bottom w:val="single" w:color="auto" w:sz="6" w:space="0"/>
              <w:right w:val="single" w:color="auto" w:sz="6" w:space="0"/>
            </w:tcBorders>
            <w:shd w:val="clear" w:color="auto" w:fill="auto"/>
            <w:vAlign w:val="center"/>
          </w:tcPr>
          <w:p w14:paraId="1B07675A">
            <w:pPr>
              <w:spacing w:line="240" w:lineRule="auto"/>
              <w:ind w:firstLine="0" w:firstLineChars="0"/>
              <w:jc w:val="center"/>
              <w:rPr>
                <w:sz w:val="21"/>
                <w:szCs w:val="21"/>
              </w:rPr>
            </w:pPr>
            <w:r>
              <w:rPr>
                <w:sz w:val="21"/>
                <w:szCs w:val="21"/>
              </w:rPr>
              <w:t>被审计单位</w:t>
            </w:r>
          </w:p>
        </w:tc>
        <w:tc>
          <w:tcPr>
            <w:tcW w:w="1541" w:type="dxa"/>
            <w:tcBorders>
              <w:top w:val="single" w:color="auto" w:sz="6" w:space="0"/>
              <w:left w:val="single" w:color="auto" w:sz="6" w:space="0"/>
              <w:bottom w:val="single" w:color="auto" w:sz="6" w:space="0"/>
              <w:right w:val="single" w:color="auto" w:sz="6" w:space="0"/>
            </w:tcBorders>
            <w:shd w:val="clear" w:color="auto" w:fill="auto"/>
            <w:vAlign w:val="center"/>
          </w:tcPr>
          <w:p w14:paraId="0CB3B086">
            <w:pPr>
              <w:spacing w:line="240" w:lineRule="auto"/>
              <w:ind w:firstLine="0" w:firstLineChars="0"/>
              <w:rPr>
                <w:sz w:val="21"/>
                <w:szCs w:val="21"/>
              </w:rPr>
            </w:pPr>
            <w:r>
              <w:rPr>
                <w:rFonts w:hint="eastAsia"/>
                <w:sz w:val="21"/>
                <w:szCs w:val="21"/>
              </w:rPr>
              <w:t>内控</w:t>
            </w:r>
            <w:r>
              <w:rPr>
                <w:sz w:val="21"/>
                <w:szCs w:val="21"/>
              </w:rPr>
              <w:t>审计费</w:t>
            </w:r>
            <w:r>
              <w:rPr>
                <w:rFonts w:hint="eastAsia"/>
                <w:sz w:val="21"/>
                <w:szCs w:val="21"/>
              </w:rPr>
              <w:t>用总额（万元）</w:t>
            </w:r>
          </w:p>
        </w:tc>
        <w:tc>
          <w:tcPr>
            <w:tcW w:w="1991" w:type="dxa"/>
            <w:tcBorders>
              <w:top w:val="single" w:color="auto" w:sz="6" w:space="0"/>
              <w:left w:val="single" w:color="auto" w:sz="6" w:space="0"/>
              <w:bottom w:val="single" w:color="auto" w:sz="6" w:space="0"/>
              <w:right w:val="single" w:color="auto" w:sz="6" w:space="0"/>
            </w:tcBorders>
            <w:shd w:val="clear" w:color="auto" w:fill="auto"/>
            <w:vAlign w:val="center"/>
          </w:tcPr>
          <w:p w14:paraId="4C38415E">
            <w:pPr>
              <w:spacing w:line="240" w:lineRule="auto"/>
              <w:ind w:firstLine="0" w:firstLineChars="0"/>
              <w:jc w:val="center"/>
              <w:rPr>
                <w:sz w:val="21"/>
                <w:szCs w:val="21"/>
              </w:rPr>
            </w:pPr>
            <w:r>
              <w:rPr>
                <w:sz w:val="21"/>
                <w:szCs w:val="21"/>
              </w:rPr>
              <w:t>备注</w:t>
            </w:r>
          </w:p>
        </w:tc>
      </w:tr>
      <w:tr w14:paraId="7F28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7BB9F146">
            <w:pPr>
              <w:spacing w:line="240" w:lineRule="auto"/>
              <w:ind w:firstLine="0" w:firstLineChars="0"/>
              <w:jc w:val="center"/>
              <w:rPr>
                <w:sz w:val="21"/>
                <w:szCs w:val="21"/>
              </w:rPr>
            </w:pPr>
            <w:r>
              <w:rPr>
                <w:rFonts w:hint="eastAsia"/>
                <w:sz w:val="21"/>
                <w:szCs w:val="21"/>
              </w:rPr>
              <w:t>1</w:t>
            </w:r>
          </w:p>
        </w:tc>
        <w:tc>
          <w:tcPr>
            <w:tcW w:w="3921" w:type="dxa"/>
            <w:tcBorders>
              <w:top w:val="single" w:color="auto" w:sz="6" w:space="0"/>
              <w:left w:val="single" w:color="auto" w:sz="6" w:space="0"/>
              <w:bottom w:val="single" w:color="auto" w:sz="6" w:space="0"/>
              <w:right w:val="single" w:color="auto" w:sz="6" w:space="0"/>
            </w:tcBorders>
            <w:vAlign w:val="center"/>
          </w:tcPr>
          <w:p w14:paraId="4A620A47">
            <w:pPr>
              <w:spacing w:line="240" w:lineRule="auto"/>
              <w:ind w:firstLine="0" w:firstLineChars="0"/>
              <w:jc w:val="center"/>
              <w:rPr>
                <w:sz w:val="21"/>
                <w:szCs w:val="21"/>
              </w:rPr>
            </w:pPr>
            <w:r>
              <w:rPr>
                <w:sz w:val="21"/>
                <w:szCs w:val="21"/>
              </w:rPr>
              <w:t>同上</w:t>
            </w:r>
          </w:p>
        </w:tc>
        <w:tc>
          <w:tcPr>
            <w:tcW w:w="1541" w:type="dxa"/>
            <w:tcBorders>
              <w:top w:val="single" w:color="auto" w:sz="6" w:space="0"/>
              <w:left w:val="single" w:color="auto" w:sz="6" w:space="0"/>
              <w:bottom w:val="single" w:color="auto" w:sz="6" w:space="0"/>
              <w:right w:val="single" w:color="auto" w:sz="6" w:space="0"/>
            </w:tcBorders>
          </w:tcPr>
          <w:p w14:paraId="15C2FCC2">
            <w:pPr>
              <w:spacing w:line="240" w:lineRule="auto"/>
              <w:ind w:firstLine="0" w:firstLineChars="0"/>
              <w:rPr>
                <w:sz w:val="21"/>
                <w:szCs w:val="21"/>
              </w:rPr>
            </w:pPr>
          </w:p>
        </w:tc>
        <w:tc>
          <w:tcPr>
            <w:tcW w:w="1991" w:type="dxa"/>
            <w:tcBorders>
              <w:top w:val="single" w:color="auto" w:sz="6" w:space="0"/>
              <w:left w:val="single" w:color="auto" w:sz="6" w:space="0"/>
              <w:bottom w:val="single" w:color="auto" w:sz="6" w:space="0"/>
              <w:right w:val="single" w:color="auto" w:sz="6" w:space="0"/>
            </w:tcBorders>
            <w:shd w:val="clear" w:color="auto" w:fill="auto"/>
          </w:tcPr>
          <w:p w14:paraId="761AFD62">
            <w:pPr>
              <w:spacing w:line="240" w:lineRule="auto"/>
              <w:ind w:firstLine="0" w:firstLineChars="0"/>
              <w:rPr>
                <w:sz w:val="21"/>
                <w:szCs w:val="21"/>
              </w:rPr>
            </w:pPr>
          </w:p>
        </w:tc>
      </w:tr>
    </w:tbl>
    <w:p w14:paraId="3784B597">
      <w:pPr>
        <w:rPr>
          <w:rFonts w:hint="default" w:eastAsia="宋体"/>
          <w:highlight w:val="none"/>
          <w:lang w:val="en-US" w:eastAsia="zh-CN"/>
        </w:rPr>
      </w:pPr>
      <w:r>
        <w:rPr>
          <w:highlight w:val="none"/>
        </w:rPr>
        <w:t>1、以上两项报价包括审计费、税费等</w:t>
      </w:r>
      <w:r>
        <w:rPr>
          <w:rFonts w:hint="eastAsia"/>
          <w:highlight w:val="none"/>
        </w:rPr>
        <w:t>投标人</w:t>
      </w:r>
      <w:r>
        <w:rPr>
          <w:highlight w:val="none"/>
        </w:rPr>
        <w:t>为完成全部</w:t>
      </w:r>
      <w:r>
        <w:rPr>
          <w:rFonts w:hint="eastAsia"/>
          <w:highlight w:val="none"/>
        </w:rPr>
        <w:t>服务所需支出费用以及所要求取得的报酬</w:t>
      </w:r>
      <w:r>
        <w:rPr>
          <w:rFonts w:hint="eastAsia"/>
          <w:highlight w:val="none"/>
          <w:lang w:eastAsia="zh-CN"/>
        </w:rPr>
        <w:t>；</w:t>
      </w:r>
      <w:r>
        <w:rPr>
          <w:rFonts w:hint="eastAsia"/>
          <w:highlight w:val="none"/>
          <w:lang w:val="en-US" w:eastAsia="zh-CN"/>
        </w:rPr>
        <w:t>与审计有关的其他费用（如</w:t>
      </w:r>
      <w:r>
        <w:rPr>
          <w:highlight w:val="none"/>
        </w:rPr>
        <w:t>差旅费、食宿费</w:t>
      </w:r>
      <w:r>
        <w:rPr>
          <w:rFonts w:hint="eastAsia"/>
          <w:highlight w:val="none"/>
          <w:lang w:eastAsia="zh-CN"/>
        </w:rPr>
        <w:t>）</w:t>
      </w:r>
      <w:r>
        <w:rPr>
          <w:rFonts w:hint="eastAsia"/>
          <w:highlight w:val="none"/>
          <w:lang w:val="en-US" w:eastAsia="zh-CN"/>
        </w:rPr>
        <w:t>由招标人承担。</w:t>
      </w:r>
    </w:p>
    <w:p w14:paraId="3EA0788C">
      <w:pPr>
        <w:rPr>
          <w:highlight w:val="none"/>
        </w:rPr>
      </w:pPr>
      <w:r>
        <w:rPr>
          <w:highlight w:val="none"/>
        </w:rPr>
        <w:t>2、公司 202</w:t>
      </w:r>
      <w:r>
        <w:rPr>
          <w:rFonts w:hint="eastAsia"/>
          <w:highlight w:val="none"/>
          <w:lang w:val="en-US" w:eastAsia="zh-CN"/>
        </w:rPr>
        <w:t>6</w:t>
      </w:r>
      <w:r>
        <w:rPr>
          <w:highlight w:val="none"/>
        </w:rPr>
        <w:t xml:space="preserve"> 年度财务及内控审计业务约定：审计机构除出具上市公司合并的财务</w:t>
      </w:r>
      <w:r>
        <w:rPr>
          <w:rFonts w:hint="eastAsia"/>
          <w:highlight w:val="none"/>
        </w:rPr>
        <w:t>、</w:t>
      </w:r>
      <w:r>
        <w:rPr>
          <w:highlight w:val="none"/>
        </w:rPr>
        <w:t>内</w:t>
      </w:r>
      <w:r>
        <w:rPr>
          <w:rFonts w:hint="eastAsia"/>
          <w:highlight w:val="none"/>
        </w:rPr>
        <w:t>控审计报告</w:t>
      </w:r>
      <w:r>
        <w:rPr>
          <w:highlight w:val="none"/>
        </w:rPr>
        <w:t>以及证监会等监管机构要求出具的专项报告</w:t>
      </w:r>
      <w:r>
        <w:rPr>
          <w:rFonts w:hint="eastAsia"/>
          <w:highlight w:val="none"/>
        </w:rPr>
        <w:t>外，还需按上市公司财务审计及内控审计要求出具母公司及子公司财务审计报告及内控审计报告</w:t>
      </w:r>
      <w:r>
        <w:rPr>
          <w:highlight w:val="none"/>
        </w:rPr>
        <w:t>(如需）。</w:t>
      </w:r>
    </w:p>
    <w:p w14:paraId="1EF4D9F0">
      <w:pPr>
        <w:shd w:val="clear"/>
        <w:rPr>
          <w:rFonts w:hint="eastAsia" w:eastAsia="宋体"/>
          <w:highlight w:val="none"/>
          <w:lang w:val="en-US" w:eastAsia="zh-CN"/>
        </w:rPr>
      </w:pPr>
      <w:r>
        <w:rPr>
          <w:rFonts w:hint="eastAsia"/>
          <w:highlight w:val="none"/>
          <w:lang w:val="en-US" w:eastAsia="zh-CN"/>
        </w:rPr>
        <w:t>3、在合同有效期内，若招标人新增非重大全资子公司，且其审计不显著增加审计工作量的，投标人承诺不再就新增子公司的审计单独收取费用；若属于重大资产重组或显著增加工作量的新增子公司审计，双方另行协商审计费用。</w:t>
      </w:r>
    </w:p>
    <w:p w14:paraId="4D3F781E">
      <w:pPr>
        <w:keepNext w:val="0"/>
        <w:keepLines w:val="0"/>
        <w:pageBreakBefore w:val="0"/>
        <w:widowControl w:val="0"/>
        <w:kinsoku/>
        <w:wordWrap/>
        <w:overflowPunct/>
        <w:topLinePunct w:val="0"/>
        <w:autoSpaceDE/>
        <w:autoSpaceDN/>
        <w:bidi w:val="0"/>
        <w:adjustRightInd w:val="0"/>
        <w:snapToGrid w:val="0"/>
        <w:spacing w:before="157" w:beforeLines="50" w:after="157" w:afterLines="50"/>
        <w:textAlignment w:val="auto"/>
      </w:pPr>
      <w:r>
        <w:rPr>
          <w:rFonts w:hint="eastAsia"/>
        </w:rPr>
        <w:t>投标人名称（盖章）：</w:t>
      </w:r>
    </w:p>
    <w:p w14:paraId="7F7C6975">
      <w:pPr>
        <w:keepNext w:val="0"/>
        <w:keepLines w:val="0"/>
        <w:pageBreakBefore w:val="0"/>
        <w:widowControl w:val="0"/>
        <w:kinsoku/>
        <w:wordWrap/>
        <w:overflowPunct/>
        <w:topLinePunct w:val="0"/>
        <w:autoSpaceDE/>
        <w:autoSpaceDN/>
        <w:bidi w:val="0"/>
        <w:adjustRightInd w:val="0"/>
        <w:snapToGrid w:val="0"/>
        <w:spacing w:before="157" w:beforeLines="50" w:after="157" w:afterLines="50"/>
        <w:textAlignment w:val="auto"/>
      </w:pPr>
      <w:r>
        <w:rPr>
          <w:rFonts w:hint="eastAsia"/>
        </w:rPr>
        <w:t>投标人授权代表</w:t>
      </w:r>
      <w:r>
        <w:t>(签字)：</w:t>
      </w:r>
    </w:p>
    <w:p w14:paraId="759FF96C">
      <w:r>
        <w:br w:type="page"/>
      </w:r>
    </w:p>
    <w:p w14:paraId="5ACCA11B">
      <w:pPr>
        <w:pStyle w:val="3"/>
        <w:ind w:left="0" w:leftChars="0" w:firstLine="0" w:firstLineChars="0"/>
        <w:rPr>
          <w:rFonts w:hint="eastAsia"/>
          <w:highlight w:val="none"/>
        </w:rPr>
      </w:pPr>
      <w:bookmarkStart w:id="51" w:name="_Toc26716"/>
      <w:r>
        <w:rPr>
          <w:rFonts w:hint="eastAsia"/>
          <w:highlight w:val="none"/>
        </w:rPr>
        <w:t>附件</w:t>
      </w:r>
      <w:r>
        <w:rPr>
          <w:rFonts w:hint="eastAsia"/>
          <w:highlight w:val="none"/>
          <w:lang w:val="en-US" w:eastAsia="zh-CN"/>
        </w:rPr>
        <w:t xml:space="preserve">3 </w:t>
      </w:r>
      <w:r>
        <w:rPr>
          <w:rFonts w:hint="eastAsia"/>
          <w:highlight w:val="none"/>
        </w:rPr>
        <w:t>合规承诺书</w:t>
      </w:r>
      <w:bookmarkEnd w:id="51"/>
    </w:p>
    <w:p w14:paraId="55DDDB62">
      <w:pPr>
        <w:keepNext w:val="0"/>
        <w:keepLines w:val="0"/>
        <w:pageBreakBefore w:val="0"/>
        <w:widowControl w:val="0"/>
        <w:kinsoku/>
        <w:wordWrap/>
        <w:overflowPunct/>
        <w:topLinePunct w:val="0"/>
        <w:autoSpaceDE/>
        <w:autoSpaceDN/>
        <w:bidi w:val="0"/>
        <w:adjustRightInd w:val="0"/>
        <w:snapToGrid w:val="0"/>
        <w:spacing w:before="625" w:beforeLines="200"/>
        <w:ind w:firstLine="0" w:firstLineChars="0"/>
        <w:jc w:val="center"/>
        <w:textAlignment w:val="auto"/>
        <w:rPr>
          <w:rFonts w:hint="eastAsia" w:ascii="黑体" w:hAnsi="黑体" w:eastAsia="黑体" w:cstheme="majorBidi"/>
          <w:bCs/>
          <w:kern w:val="2"/>
          <w:sz w:val="28"/>
          <w:szCs w:val="28"/>
          <w:highlight w:val="none"/>
          <w:lang w:val="en-US" w:eastAsia="zh-CN" w:bidi="ar-SA"/>
        </w:rPr>
      </w:pPr>
      <w:r>
        <w:rPr>
          <w:rFonts w:hint="eastAsia" w:ascii="黑体" w:hAnsi="黑体" w:eastAsia="黑体" w:cstheme="majorBidi"/>
          <w:bCs/>
          <w:kern w:val="2"/>
          <w:sz w:val="28"/>
          <w:szCs w:val="28"/>
          <w:highlight w:val="none"/>
          <w:lang w:val="en-US" w:eastAsia="zh-CN" w:bidi="ar-SA"/>
        </w:rPr>
        <w:t>审计投标专项合规承诺书</w:t>
      </w:r>
    </w:p>
    <w:p w14:paraId="2AE7A280">
      <w:pPr>
        <w:keepNext w:val="0"/>
        <w:keepLines w:val="0"/>
        <w:pageBreakBefore w:val="0"/>
        <w:widowControl w:val="0"/>
        <w:kinsoku/>
        <w:wordWrap/>
        <w:overflowPunct/>
        <w:topLinePunct w:val="0"/>
        <w:autoSpaceDE/>
        <w:autoSpaceDN/>
        <w:bidi w:val="0"/>
        <w:adjustRightInd w:val="0"/>
        <w:snapToGrid w:val="0"/>
        <w:spacing w:before="157" w:beforeLines="50"/>
        <w:ind w:left="0" w:leftChars="0" w:firstLine="0" w:firstLineChars="0"/>
        <w:textAlignment w:val="auto"/>
        <w:rPr>
          <w:rFonts w:hint="eastAsia"/>
          <w:highlight w:val="none"/>
        </w:rPr>
      </w:pPr>
      <w:r>
        <w:rPr>
          <w:rFonts w:hint="eastAsia"/>
          <w:highlight w:val="none"/>
        </w:rPr>
        <w:t>致：华丰动力股份有限公司</w:t>
      </w:r>
    </w:p>
    <w:p w14:paraId="515CEC23">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eastAsia"/>
          <w:highlight w:val="none"/>
        </w:rPr>
      </w:pPr>
      <w:r>
        <w:rPr>
          <w:rFonts w:hint="eastAsia"/>
          <w:highlight w:val="none"/>
        </w:rPr>
        <w:t>我方__________（会计师事务所全称），作为参与贵司2026年度财务报表及内部控制审计服务招标项目的投标人，为响应本次招标文件全部实质性要求，规范执业行为、保障服务质量、恪守合规底线，特此单独出具本承诺书，郑重作出如下无条件、不可撤销的承诺：</w:t>
      </w:r>
    </w:p>
    <w:p w14:paraId="18D13332">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eastAsia"/>
          <w:b/>
          <w:bCs/>
          <w:highlight w:val="none"/>
        </w:rPr>
      </w:pPr>
      <w:r>
        <w:rPr>
          <w:rFonts w:hint="eastAsia"/>
          <w:b/>
          <w:bCs/>
          <w:highlight w:val="none"/>
        </w:rPr>
        <w:t>一、合规执业承诺</w:t>
      </w:r>
    </w:p>
    <w:p w14:paraId="43FC71D1">
      <w:pPr>
        <w:rPr>
          <w:rFonts w:hint="eastAsia"/>
          <w:highlight w:val="none"/>
        </w:rPr>
      </w:pPr>
      <w:r>
        <w:rPr>
          <w:rFonts w:hint="eastAsia"/>
          <w:highlight w:val="none"/>
        </w:rPr>
        <w:t>我方严格遵守《国有企业、上市公司选聘会计师事务所管理办法》（财会〔2023〕4号）及财政部、证监会、上海证券交易所关于上市公司审计服务的各项法律法规、监管规则及行业执业准则，全程合规开展本次投标及后续审计履约工作，严格落实上市公司审计机构选聘、执业管控、质量管控全部合规要求，杜绝一切违规执业行为。</w:t>
      </w:r>
    </w:p>
    <w:p w14:paraId="61F48B11">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eastAsia"/>
          <w:b/>
          <w:bCs/>
          <w:highlight w:val="none"/>
        </w:rPr>
      </w:pPr>
      <w:r>
        <w:rPr>
          <w:rFonts w:hint="eastAsia"/>
          <w:b/>
          <w:bCs/>
          <w:highlight w:val="none"/>
        </w:rPr>
        <w:t>二、审计独立性承诺</w:t>
      </w:r>
    </w:p>
    <w:p w14:paraId="470AB1F6">
      <w:pPr>
        <w:rPr>
          <w:rFonts w:hint="eastAsia"/>
          <w:highlight w:val="none"/>
        </w:rPr>
      </w:pPr>
      <w:r>
        <w:rPr>
          <w:rFonts w:hint="eastAsia"/>
          <w:highlight w:val="none"/>
        </w:rPr>
        <w:t>我方及拟参与本项目的全部执业人员、机构关联主体，在投标及全程服务期间，与贵司、贵司控股股东、实际控制人、董监高及核心关联方无任何影响审计独立性的利害关系，不存在违规关联服务、利益关联、利益输送等情形。我方将严格保持审计执业独立、客观、公正，不受任何第三方干预，独立出具审计意见及各类专项报告，若存在独立性瑕疵，自愿接受废标、解除合同、追责等全部处理。</w:t>
      </w:r>
    </w:p>
    <w:p w14:paraId="1002622E">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eastAsia"/>
          <w:b/>
          <w:bCs/>
          <w:highlight w:val="none"/>
        </w:rPr>
      </w:pPr>
      <w:r>
        <w:rPr>
          <w:rFonts w:hint="eastAsia"/>
          <w:b/>
          <w:bCs/>
          <w:highlight w:val="none"/>
        </w:rPr>
        <w:t>三、合规报价承诺</w:t>
      </w:r>
    </w:p>
    <w:p w14:paraId="0A23862E">
      <w:pPr>
        <w:rPr>
          <w:rFonts w:hint="eastAsia"/>
          <w:highlight w:val="none"/>
        </w:rPr>
      </w:pPr>
      <w:r>
        <w:rPr>
          <w:rFonts w:hint="eastAsia"/>
          <w:highlight w:val="none"/>
        </w:rPr>
        <w:t>我方本次投标报价真实、合理、合规，充分覆盖本项目全部审计服务成本、人工成本、运营成本及风险成本，不存在恶意低价竞标、无序竞价、附条件报价等违规情形，不通过低价恶性竞争获取中标资格。若评标委员会认定我方报价为不合理低价且无法举证合理性，我方自愿接受无效投标、废标处理，不提出任何异议及追责。</w:t>
      </w:r>
    </w:p>
    <w:p w14:paraId="4976F3D0">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eastAsia"/>
          <w:b/>
          <w:bCs/>
          <w:highlight w:val="none"/>
        </w:rPr>
      </w:pPr>
      <w:r>
        <w:rPr>
          <w:rFonts w:hint="eastAsia"/>
          <w:b/>
          <w:bCs/>
          <w:highlight w:val="none"/>
        </w:rPr>
        <w:t>四、禁止转包分包承诺</w:t>
      </w:r>
    </w:p>
    <w:p w14:paraId="5B6A9D50">
      <w:pPr>
        <w:rPr>
          <w:rFonts w:hint="eastAsia"/>
          <w:highlight w:val="none"/>
        </w:rPr>
      </w:pPr>
      <w:r>
        <w:rPr>
          <w:rFonts w:hint="eastAsia"/>
          <w:highlight w:val="none"/>
        </w:rPr>
        <w:t>我方承诺本项目全部审计工作（含预审、现场审计、复核、报告出具、专项核查、监管配合等所有工作）均由我方独立完成，绝不转包、绝不分包、绝不委托第三方机构、人员承接本项目工作。若经查实存在转包、分包、变相委托第三方执业情形，贵司有权单方解除合同、扣除全部服务费、终止合作，我方自愿承担全部违约责任及监管后果。</w:t>
      </w:r>
    </w:p>
    <w:p w14:paraId="3B805D61">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eastAsia"/>
          <w:b/>
          <w:bCs/>
          <w:highlight w:val="none"/>
        </w:rPr>
      </w:pPr>
      <w:r>
        <w:rPr>
          <w:rFonts w:hint="eastAsia"/>
          <w:b/>
          <w:bCs/>
          <w:highlight w:val="none"/>
        </w:rPr>
        <w:t>五、核心团队人员稳定承诺</w:t>
      </w:r>
    </w:p>
    <w:p w14:paraId="3EC5287B">
      <w:pPr>
        <w:rPr>
          <w:rFonts w:hint="eastAsia"/>
          <w:highlight w:val="none"/>
        </w:rPr>
      </w:pPr>
      <w:r>
        <w:rPr>
          <w:rFonts w:hint="eastAsia"/>
          <w:highlight w:val="none"/>
        </w:rPr>
        <w:t>我方承诺本项目既定项目合伙人、签字注册会计师、现场项目负责人等核心执业人员全程稳定履职，服务期内无正当理由绝不擅自更换。确因特殊情况需要更换核心人员的，我方将提前向贵司提交书面申请及人员资质证明，确保更换后人员执业资质、从业经验、上市公司审计能力不低于原团队标准，且经贵司书面同意后方可更换。若擅自更换核心团队人员，贵司有权扣减服务费、终止履约，我方自愿接受相关处理。</w:t>
      </w:r>
    </w:p>
    <w:p w14:paraId="26B5868F">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eastAsia"/>
          <w:b/>
          <w:bCs/>
          <w:highlight w:val="none"/>
        </w:rPr>
      </w:pPr>
      <w:r>
        <w:rPr>
          <w:rFonts w:hint="eastAsia"/>
          <w:b/>
          <w:bCs/>
          <w:highlight w:val="none"/>
        </w:rPr>
        <w:t>六、服务质量及工期承诺</w:t>
      </w:r>
    </w:p>
    <w:p w14:paraId="70531B4E">
      <w:pPr>
        <w:rPr>
          <w:rFonts w:hint="eastAsia"/>
          <w:highlight w:val="none"/>
        </w:rPr>
      </w:pPr>
      <w:r>
        <w:rPr>
          <w:rFonts w:hint="eastAsia"/>
          <w:highlight w:val="none"/>
        </w:rPr>
        <w:t>我方承诺严格按照招标文件、投标方案、审计准则及监管要求，保质、保量、按期完成2026年度财务报表审计、内部控制审计、各类专项报告出具、定期报告支撑、全年咨询服务等全部工作，确保贵司年度报告、内控报告及各类专项资料按时、合规披露，不出现延期交付、数据差错、审计遗漏、履职缺位等问题，全力保障贵司信息披露合规、经营运作规范。</w:t>
      </w:r>
    </w:p>
    <w:p w14:paraId="07BB3707">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eastAsia"/>
          <w:b/>
          <w:bCs/>
          <w:highlight w:val="none"/>
        </w:rPr>
      </w:pPr>
      <w:r>
        <w:rPr>
          <w:rFonts w:hint="eastAsia"/>
          <w:b/>
          <w:bCs/>
          <w:highlight w:val="none"/>
        </w:rPr>
        <w:t>七、全程监管配合承诺</w:t>
      </w:r>
    </w:p>
    <w:p w14:paraId="6AF01F6D">
      <w:pPr>
        <w:rPr>
          <w:rFonts w:hint="eastAsia"/>
          <w:highlight w:val="none"/>
        </w:rPr>
      </w:pPr>
      <w:r>
        <w:rPr>
          <w:rFonts w:hint="eastAsia"/>
          <w:highlight w:val="none"/>
        </w:rPr>
        <w:t>服务期内，我方无条件、及时配合证监会、证券交易所、地方监管局等各级监管部门的问询、核查、巡检、现场检查等全部监管工作，第一时间梳理、提供审计工作底稿、佐证资料、专业意见回复，主动配合贵司完成各类监管应答及整改工作，不因审计履职问题造成贵司监管问询延期、披露违规、行政处罚等情形。</w:t>
      </w:r>
    </w:p>
    <w:p w14:paraId="1CF93717">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eastAsia"/>
          <w:b/>
          <w:bCs/>
          <w:highlight w:val="none"/>
        </w:rPr>
      </w:pPr>
      <w:r>
        <w:rPr>
          <w:rFonts w:hint="eastAsia"/>
          <w:b/>
          <w:bCs/>
          <w:highlight w:val="none"/>
          <w:lang w:val="en-US" w:eastAsia="zh-CN"/>
        </w:rPr>
        <w:t>八</w:t>
      </w:r>
      <w:r>
        <w:rPr>
          <w:rFonts w:hint="eastAsia"/>
          <w:b/>
          <w:bCs/>
          <w:highlight w:val="none"/>
        </w:rPr>
        <w:t>、真实有效承诺</w:t>
      </w:r>
    </w:p>
    <w:p w14:paraId="68B3B4DC">
      <w:pPr>
        <w:rPr>
          <w:rFonts w:hint="eastAsia"/>
          <w:highlight w:val="none"/>
        </w:rPr>
      </w:pPr>
      <w:r>
        <w:rPr>
          <w:rFonts w:hint="eastAsia"/>
          <w:highlight w:val="none"/>
        </w:rPr>
        <w:t>我方承诺本次投标提交的全部资料、证明文件、业绩、资质、声明均真实、合法、有效，无虚假填报、隐瞒、伪造、变造情形，自愿接受招标人及评标委员会核查，若存在虚假情形，自愿直接废标并承担全部法律责任。</w:t>
      </w:r>
    </w:p>
    <w:p w14:paraId="7BE819B4">
      <w:pPr>
        <w:rPr>
          <w:rFonts w:hint="eastAsia"/>
          <w:highlight w:val="none"/>
        </w:rPr>
      </w:pPr>
      <w:r>
        <w:rPr>
          <w:rFonts w:hint="eastAsia"/>
          <w:highlight w:val="none"/>
        </w:rPr>
        <w:t>本承诺书自加盖我方公章之日起生效，贯穿投标、评标、履约全流程，具有长期法律效力，是我方参与本次投标及后续履约的有效法律文件。</w:t>
      </w:r>
    </w:p>
    <w:p w14:paraId="2FFC4D4C">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eastAsia"/>
          <w:highlight w:val="none"/>
        </w:rPr>
      </w:pPr>
      <w:r>
        <w:rPr>
          <w:rFonts w:hint="eastAsia"/>
          <w:highlight w:val="none"/>
        </w:rPr>
        <w:t>特此承诺！</w:t>
      </w:r>
    </w:p>
    <w:p w14:paraId="5DB85F8F">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eastAsia"/>
          <w:highlight w:val="none"/>
        </w:rPr>
      </w:pPr>
    </w:p>
    <w:p w14:paraId="3B2769EE">
      <w:pPr>
        <w:rPr>
          <w:rFonts w:hint="eastAsia"/>
          <w:highlight w:val="none"/>
        </w:rPr>
      </w:pPr>
      <w:r>
        <w:rPr>
          <w:rFonts w:hint="eastAsia"/>
          <w:highlight w:val="none"/>
        </w:rPr>
        <w:t>投标人（会计师事务所公章）：________________________</w:t>
      </w:r>
    </w:p>
    <w:p w14:paraId="497A7686">
      <w:pPr>
        <w:rPr>
          <w:rFonts w:hint="eastAsia"/>
          <w:highlight w:val="none"/>
        </w:rPr>
      </w:pPr>
      <w:r>
        <w:rPr>
          <w:rFonts w:hint="eastAsia"/>
          <w:highlight w:val="none"/>
          <w:lang w:val="en-US" w:eastAsia="zh-CN"/>
        </w:rPr>
        <w:t>执行事务合伙人/单位负责人</w:t>
      </w:r>
      <w:r>
        <w:rPr>
          <w:rFonts w:hint="eastAsia"/>
          <w:highlight w:val="none"/>
        </w:rPr>
        <w:t>/授权代表（签字）：________________________</w:t>
      </w:r>
    </w:p>
    <w:p w14:paraId="34E6AC48">
      <w:pPr>
        <w:ind w:firstLine="2160" w:firstLineChars="900"/>
        <w:rPr>
          <w:highlight w:val="yellow"/>
        </w:rPr>
      </w:pPr>
      <w:r>
        <w:rPr>
          <w:rFonts w:hint="eastAsia"/>
          <w:highlight w:val="none"/>
        </w:rPr>
        <w:t>日期：______年____月____日</w:t>
      </w:r>
    </w:p>
    <w:p w14:paraId="594FB3F2">
      <w:pPr>
        <w:rPr>
          <w:highlight w:val="yellow"/>
        </w:rPr>
      </w:pPr>
      <w:r>
        <w:rPr>
          <w:highlight w:val="yellow"/>
        </w:rPr>
        <w:br w:type="page"/>
      </w:r>
    </w:p>
    <w:p w14:paraId="5D149A70">
      <w:pPr>
        <w:pStyle w:val="3"/>
        <w:ind w:firstLine="560"/>
        <w:rPr>
          <w:b/>
        </w:rPr>
      </w:pPr>
      <w:bookmarkStart w:id="52" w:name="_Toc28408"/>
      <w:r>
        <w:rPr>
          <w:rFonts w:hint="eastAsia"/>
        </w:rPr>
        <w:t>附件</w:t>
      </w:r>
      <w:r>
        <w:rPr>
          <w:rFonts w:hint="eastAsia"/>
          <w:lang w:val="en-US" w:eastAsia="zh-CN"/>
        </w:rPr>
        <w:t>4</w:t>
      </w:r>
      <w:r>
        <w:t xml:space="preserve"> 资格证明文件</w:t>
      </w:r>
      <w:bookmarkEnd w:id="52"/>
    </w:p>
    <w:p w14:paraId="4903C450">
      <w:pPr>
        <w:pStyle w:val="4"/>
        <w:rPr>
          <w:b/>
        </w:rPr>
      </w:pPr>
      <w:bookmarkStart w:id="53" w:name="_Toc22496"/>
      <w:r>
        <w:rPr>
          <w:rFonts w:hint="eastAsia"/>
        </w:rPr>
        <w:t>附件</w:t>
      </w:r>
      <w:r>
        <w:rPr>
          <w:rFonts w:hint="eastAsia"/>
          <w:lang w:val="en-US" w:eastAsia="zh-CN"/>
        </w:rPr>
        <w:t>4</w:t>
      </w:r>
      <w:r>
        <w:t xml:space="preserve">.1 </w:t>
      </w:r>
      <w:r>
        <w:rPr>
          <w:rFonts w:hint="eastAsia"/>
          <w:lang w:val="en-US" w:eastAsia="zh-CN"/>
        </w:rPr>
        <w:t>执行事务合伙人/单位负责人</w:t>
      </w:r>
      <w:r>
        <w:t>授权书</w:t>
      </w:r>
      <w:bookmarkEnd w:id="53"/>
    </w:p>
    <w:p w14:paraId="4669E970">
      <w:r>
        <w:t>(如</w:t>
      </w:r>
      <w:r>
        <w:rPr>
          <w:rFonts w:hint="eastAsia"/>
          <w:lang w:eastAsia="zh-CN"/>
        </w:rPr>
        <w:t>执行事务合伙人/单位负责人</w:t>
      </w:r>
      <w:r>
        <w:t>亲自签字参加投标，则不需此</w:t>
      </w:r>
      <w:r>
        <w:rPr>
          <w:rFonts w:hint="eastAsia"/>
          <w:lang w:val="en-US" w:eastAsia="zh-CN"/>
        </w:rPr>
        <w:t>文</w:t>
      </w:r>
      <w:r>
        <w:t>件)</w:t>
      </w:r>
    </w:p>
    <w:p w14:paraId="6E89FB84"/>
    <w:p w14:paraId="7B1B2C29">
      <w:pPr>
        <w:jc w:val="center"/>
        <w:rPr>
          <w:b/>
          <w:bCs/>
        </w:rPr>
      </w:pPr>
      <w:r>
        <w:rPr>
          <w:rFonts w:hint="eastAsia"/>
          <w:b/>
          <w:bCs/>
          <w:lang w:val="en-US" w:eastAsia="zh-CN"/>
        </w:rPr>
        <w:t>执行事务合伙人/单位负责人</w:t>
      </w:r>
      <w:r>
        <w:rPr>
          <w:rFonts w:hint="eastAsia"/>
          <w:b/>
          <w:bCs/>
        </w:rPr>
        <w:t>授权书</w:t>
      </w:r>
    </w:p>
    <w:p w14:paraId="71F81FA7"/>
    <w:p w14:paraId="336EC344">
      <w:pPr>
        <w:keepNext w:val="0"/>
        <w:keepLines w:val="0"/>
        <w:pageBreakBefore w:val="0"/>
        <w:widowControl w:val="0"/>
        <w:kinsoku/>
        <w:wordWrap/>
        <w:overflowPunct/>
        <w:topLinePunct w:val="0"/>
        <w:autoSpaceDE/>
        <w:autoSpaceDN/>
        <w:bidi w:val="0"/>
        <w:adjustRightInd w:val="0"/>
        <w:snapToGrid w:val="0"/>
        <w:ind w:left="0" w:leftChars="0" w:firstLine="240" w:firstLineChars="100"/>
        <w:textAlignment w:val="auto"/>
        <w:rPr>
          <w:rFonts w:hint="eastAsia" w:eastAsia="宋体"/>
          <w:lang w:eastAsia="zh-CN"/>
        </w:rPr>
      </w:pPr>
      <w:r>
        <w:rPr>
          <w:rFonts w:hint="eastAsia"/>
        </w:rPr>
        <w:t>华丰动力股份有限公司</w:t>
      </w:r>
      <w:r>
        <w:rPr>
          <w:rFonts w:hint="eastAsia"/>
          <w:lang w:eastAsia="zh-CN"/>
        </w:rPr>
        <w:t>：</w:t>
      </w:r>
    </w:p>
    <w:p w14:paraId="07397E8C">
      <w:pPr>
        <w:keepNext w:val="0"/>
        <w:keepLines w:val="0"/>
        <w:pageBreakBefore w:val="0"/>
        <w:widowControl w:val="0"/>
        <w:kinsoku/>
        <w:wordWrap/>
        <w:overflowPunct/>
        <w:topLinePunct w:val="0"/>
        <w:autoSpaceDE/>
        <w:autoSpaceDN/>
        <w:bidi w:val="0"/>
        <w:adjustRightInd w:val="0"/>
        <w:snapToGrid w:val="0"/>
        <w:ind w:left="240" w:leftChars="100" w:firstLine="480" w:firstLineChars="200"/>
        <w:jc w:val="both"/>
        <w:textAlignment w:val="auto"/>
      </w:pPr>
      <w:r>
        <w:rPr>
          <w:u w:val="single"/>
        </w:rPr>
        <w:t xml:space="preserve">                         </w:t>
      </w:r>
      <w:r>
        <w:t>(投标人单位名称)的</w:t>
      </w:r>
      <w:r>
        <w:rPr>
          <w:rFonts w:hint="eastAsia"/>
          <w:lang w:eastAsia="zh-CN"/>
        </w:rPr>
        <w:t>执行事务合伙人/单位负责人</w:t>
      </w:r>
      <w:r>
        <w:rPr>
          <w:rFonts w:hint="eastAsia"/>
          <w:u w:val="single"/>
          <w:lang w:val="en-US" w:eastAsia="zh-CN"/>
        </w:rPr>
        <w:t xml:space="preserve"> </w:t>
      </w:r>
      <w:r>
        <w:rPr>
          <w:rFonts w:hint="eastAsia"/>
          <w:u w:val="single"/>
          <w:lang w:val="en-US" w:eastAsia="zh-CN"/>
        </w:rPr>
        <w:tab/>
      </w:r>
      <w:r>
        <w:rPr>
          <w:rFonts w:hint="eastAsia"/>
          <w:u w:val="single"/>
          <w:lang w:val="en-US" w:eastAsia="zh-CN"/>
        </w:rPr>
        <w:t xml:space="preserve">    </w:t>
      </w:r>
      <w:r>
        <w:rPr>
          <w:rFonts w:hint="eastAsia"/>
          <w:u w:val="single"/>
          <w:lang w:val="en-US" w:eastAsia="zh-CN"/>
        </w:rPr>
        <w:tab/>
      </w:r>
      <w:r>
        <w:rPr>
          <w:rFonts w:hint="eastAsia"/>
          <w:u w:val="single"/>
          <w:lang w:val="en-US" w:eastAsia="zh-CN"/>
        </w:rPr>
        <w:tab/>
      </w:r>
      <w:r>
        <w:rPr>
          <w:rFonts w:hint="eastAsia"/>
          <w:u w:val="none"/>
        </w:rPr>
        <w:t>（</w:t>
      </w:r>
      <w:r>
        <w:rPr>
          <w:rFonts w:hint="eastAsia"/>
          <w:lang w:eastAsia="zh-CN"/>
        </w:rPr>
        <w:t>执行事务合伙人/单位负责人</w:t>
      </w:r>
      <w:r>
        <w:rPr>
          <w:u w:val="none"/>
        </w:rPr>
        <w:t>姓名)</w:t>
      </w:r>
      <w:r>
        <w:t>授权</w:t>
      </w:r>
      <w:r>
        <w:rPr>
          <w:rFonts w:hint="eastAsia"/>
          <w:u w:val="single"/>
          <w:lang w:val="en-US" w:eastAsia="zh-CN"/>
        </w:rPr>
        <w:tab/>
      </w:r>
      <w:r>
        <w:rPr>
          <w:rFonts w:hint="eastAsia"/>
          <w:u w:val="single"/>
          <w:lang w:val="en-US" w:eastAsia="zh-CN"/>
        </w:rPr>
        <w:tab/>
      </w:r>
      <w:r>
        <w:rPr>
          <w:rFonts w:hint="eastAsia"/>
          <w:u w:val="single"/>
          <w:lang w:val="en-US" w:eastAsia="zh-CN"/>
        </w:rPr>
        <w:tab/>
      </w:r>
      <w:r>
        <w:rPr>
          <w:rFonts w:hint="eastAsia"/>
          <w:u w:val="single"/>
          <w:lang w:val="en-US" w:eastAsia="zh-CN"/>
        </w:rPr>
        <w:t xml:space="preserve">   </w:t>
      </w:r>
      <w:r>
        <w:rPr>
          <w:rFonts w:hint="eastAsia"/>
          <w:u w:val="none"/>
        </w:rPr>
        <w:t>（</w:t>
      </w:r>
      <w:r>
        <w:rPr>
          <w:u w:val="none"/>
        </w:rPr>
        <w:t>授权代表姓名)</w:t>
      </w:r>
      <w:r>
        <w:t>为授权代表，参加贵司组织的</w:t>
      </w:r>
      <w:r>
        <w:rPr>
          <w:rFonts w:hint="eastAsia"/>
          <w:u w:val="single"/>
        </w:rPr>
        <w:t xml:space="preserve"> </w:t>
      </w:r>
      <w:r>
        <w:rPr>
          <w:u w:val="single"/>
        </w:rPr>
        <w:t xml:space="preserve"> 202</w:t>
      </w:r>
      <w:r>
        <w:rPr>
          <w:rFonts w:hint="eastAsia"/>
          <w:u w:val="single"/>
          <w:lang w:val="en-US" w:eastAsia="zh-CN"/>
        </w:rPr>
        <w:t>6</w:t>
      </w:r>
      <w:r>
        <w:rPr>
          <w:u w:val="single"/>
        </w:rPr>
        <w:t xml:space="preserve">年度财务报表及内部控制审计服务   </w:t>
      </w:r>
      <w:r>
        <w:t>项目投标活动，全权处理投标活动中的一切事宜。</w:t>
      </w:r>
    </w:p>
    <w:p w14:paraId="382882F7"/>
    <w:p w14:paraId="67516614">
      <w:pPr>
        <w:rPr>
          <w:rFonts w:hint="eastAsia" w:eastAsia="宋体"/>
          <w:lang w:eastAsia="zh-CN"/>
        </w:rPr>
      </w:pPr>
      <w:r>
        <w:rPr>
          <w:rFonts w:hint="eastAsia"/>
          <w:lang w:eastAsia="zh-CN"/>
        </w:rPr>
        <w:t>执行事务合伙人/单位负责人</w:t>
      </w:r>
      <w:r>
        <w:rPr>
          <w:rFonts w:hint="eastAsia"/>
        </w:rPr>
        <w:t>签字</w:t>
      </w:r>
      <w:r>
        <w:rPr>
          <w:rFonts w:hint="eastAsia"/>
          <w:highlight w:val="none"/>
          <w:lang w:val="en-US" w:eastAsia="zh-CN"/>
        </w:rPr>
        <w:t>或盖章</w:t>
      </w:r>
      <w:r>
        <w:rPr>
          <w:rFonts w:hint="eastAsia"/>
          <w:lang w:eastAsia="zh-CN"/>
        </w:rPr>
        <w:t>：</w:t>
      </w:r>
    </w:p>
    <w:p w14:paraId="0512413E">
      <w:pPr>
        <w:rPr>
          <w:rFonts w:hint="eastAsia" w:eastAsia="宋体"/>
          <w:lang w:eastAsia="zh-CN"/>
        </w:rPr>
      </w:pPr>
      <w:r>
        <w:rPr>
          <w:rFonts w:hint="eastAsia"/>
        </w:rPr>
        <w:t>投标人单位名称</w:t>
      </w:r>
      <w:r>
        <w:t>(加盖公章)</w:t>
      </w:r>
      <w:r>
        <w:rPr>
          <w:rFonts w:hint="eastAsia"/>
          <w:lang w:eastAsia="zh-CN"/>
        </w:rPr>
        <w:t>：</w:t>
      </w:r>
    </w:p>
    <w:p w14:paraId="60C22296">
      <w:pPr>
        <w:rPr>
          <w:rFonts w:hint="eastAsia" w:eastAsia="宋体"/>
          <w:lang w:eastAsia="zh-CN"/>
        </w:rPr>
      </w:pPr>
      <w:r>
        <w:rPr>
          <w:rFonts w:hint="eastAsia"/>
        </w:rPr>
        <w:t>日期</w:t>
      </w:r>
      <w:r>
        <w:rPr>
          <w:rFonts w:hint="eastAsia"/>
          <w:lang w:eastAsia="zh-CN"/>
        </w:rPr>
        <w:t>：</w:t>
      </w:r>
    </w:p>
    <w:p w14:paraId="0D7223C1"/>
    <w:p w14:paraId="23836E23"/>
    <w:p w14:paraId="23079155">
      <w:pPr>
        <w:rPr>
          <w:rFonts w:hint="eastAsia" w:eastAsia="宋体"/>
          <w:lang w:eastAsia="zh-CN"/>
        </w:rPr>
      </w:pPr>
      <w:r>
        <w:rPr>
          <w:rFonts w:hint="eastAsia"/>
        </w:rPr>
        <w:t>授权代表签字</w:t>
      </w:r>
      <w:r>
        <w:rPr>
          <w:rFonts w:hint="eastAsia"/>
          <w:lang w:eastAsia="zh-CN"/>
        </w:rPr>
        <w:t>：</w:t>
      </w:r>
    </w:p>
    <w:p w14:paraId="63897123">
      <w:pPr>
        <w:rPr>
          <w:rFonts w:hint="eastAsia" w:eastAsia="宋体"/>
          <w:lang w:eastAsia="zh-CN"/>
        </w:rPr>
      </w:pPr>
      <w:r>
        <w:rPr>
          <w:rFonts w:hint="eastAsia"/>
        </w:rPr>
        <w:t>职务</w:t>
      </w:r>
      <w:r>
        <w:rPr>
          <w:rFonts w:hint="eastAsia"/>
          <w:lang w:eastAsia="zh-CN"/>
        </w:rPr>
        <w:t>：</w:t>
      </w:r>
    </w:p>
    <w:p w14:paraId="78107633">
      <w:pPr>
        <w:rPr>
          <w:rFonts w:hint="eastAsia" w:eastAsia="宋体"/>
          <w:lang w:eastAsia="zh-CN"/>
        </w:rPr>
      </w:pPr>
      <w:r>
        <w:rPr>
          <w:rFonts w:hint="eastAsia"/>
        </w:rPr>
        <w:t>详细通讯地址</w:t>
      </w:r>
      <w:r>
        <w:rPr>
          <w:rFonts w:hint="eastAsia"/>
          <w:lang w:eastAsia="zh-CN"/>
        </w:rPr>
        <w:t>：</w:t>
      </w:r>
    </w:p>
    <w:p w14:paraId="560848A1">
      <w:pPr>
        <w:rPr>
          <w:rFonts w:hint="default" w:eastAsia="宋体"/>
          <w:lang w:val="en-US" w:eastAsia="zh-CN"/>
        </w:rPr>
      </w:pPr>
      <w:r>
        <w:rPr>
          <w:rFonts w:hint="eastAsia"/>
        </w:rPr>
        <w:t>电话</w:t>
      </w:r>
      <w:r>
        <w:rPr>
          <w:rFonts w:hint="eastAsia"/>
          <w:lang w:eastAsia="zh-CN"/>
        </w:rPr>
        <w:t>：</w:t>
      </w:r>
      <w:r>
        <w:rPr>
          <w:rFonts w:hint="eastAsia"/>
          <w:lang w:val="en-US" w:eastAsia="zh-CN"/>
        </w:rPr>
        <w:t xml:space="preserve"> </w:t>
      </w:r>
    </w:p>
    <w:p w14:paraId="2C80E307"/>
    <w:p w14:paraId="0B1FE28D"/>
    <w:p w14:paraId="4617BC17"/>
    <w:p w14:paraId="28F74DDD"/>
    <w:p w14:paraId="365CDBDF"/>
    <w:p w14:paraId="5FD0AC43">
      <w:r>
        <w:br w:type="page"/>
      </w:r>
    </w:p>
    <w:p w14:paraId="584E9B1B">
      <w:pPr>
        <w:pStyle w:val="4"/>
      </w:pPr>
      <w:bookmarkStart w:id="54" w:name="_Toc6561"/>
      <w:r>
        <w:rPr>
          <w:rFonts w:hint="eastAsia"/>
        </w:rPr>
        <w:t>附件</w:t>
      </w:r>
      <w:r>
        <w:rPr>
          <w:rFonts w:hint="eastAsia"/>
          <w:lang w:val="en-US" w:eastAsia="zh-CN"/>
        </w:rPr>
        <w:t>4</w:t>
      </w:r>
      <w:r>
        <w:t>.</w:t>
      </w:r>
      <w:r>
        <w:rPr>
          <w:rFonts w:hint="eastAsia"/>
          <w:lang w:val="en-US" w:eastAsia="zh-CN"/>
        </w:rPr>
        <w:t xml:space="preserve">2 </w:t>
      </w:r>
      <w:r>
        <w:rPr>
          <w:rFonts w:hint="eastAsia"/>
        </w:rPr>
        <w:t>营业执照</w:t>
      </w:r>
      <w:r>
        <w:rPr>
          <w:rFonts w:hint="eastAsia"/>
          <w:lang w:eastAsia="zh-CN"/>
        </w:rPr>
        <w:t>、</w:t>
      </w:r>
      <w:r>
        <w:t>会计师事务所执业资格证书、证券期货相关业务资格证明文件(</w:t>
      </w:r>
      <w:r>
        <w:rPr>
          <w:rFonts w:hint="eastAsia"/>
        </w:rPr>
        <w:t>复</w:t>
      </w:r>
      <w:r>
        <w:t>印件加盖单位公章)</w:t>
      </w:r>
      <w:bookmarkEnd w:id="54"/>
    </w:p>
    <w:p w14:paraId="26C7ED0E">
      <w:r>
        <w:br w:type="page"/>
      </w:r>
    </w:p>
    <w:p w14:paraId="32B800A5">
      <w:pPr>
        <w:pStyle w:val="4"/>
      </w:pPr>
      <w:bookmarkStart w:id="55" w:name="_Toc18145"/>
      <w:r>
        <w:rPr>
          <w:rFonts w:hint="eastAsia"/>
        </w:rPr>
        <w:t>附件</w:t>
      </w:r>
      <w:r>
        <w:rPr>
          <w:rFonts w:hint="eastAsia"/>
          <w:lang w:val="en-US" w:eastAsia="zh-CN"/>
        </w:rPr>
        <w:t>4</w:t>
      </w:r>
      <w:r>
        <w:t>.</w:t>
      </w:r>
      <w:r>
        <w:rPr>
          <w:rFonts w:hint="eastAsia"/>
          <w:lang w:val="en-US" w:eastAsia="zh-CN"/>
        </w:rPr>
        <w:t xml:space="preserve">3 </w:t>
      </w:r>
      <w:r>
        <w:rPr>
          <w:rFonts w:hint="eastAsia"/>
        </w:rPr>
        <w:t>最近三年内受到的监管部门处罚情况（提供中注协网站查询截图</w:t>
      </w:r>
      <w:r>
        <w:t>）</w:t>
      </w:r>
      <w:bookmarkEnd w:id="55"/>
    </w:p>
    <w:p w14:paraId="50B5CE6C">
      <w:r>
        <w:br w:type="page"/>
      </w:r>
    </w:p>
    <w:p w14:paraId="0F52BFB9">
      <w:pPr>
        <w:pStyle w:val="3"/>
        <w:ind w:firstLine="560"/>
      </w:pPr>
      <w:bookmarkStart w:id="56" w:name="_Toc28612"/>
      <w:r>
        <w:rPr>
          <w:rFonts w:hint="eastAsia"/>
        </w:rPr>
        <w:t>附件</w:t>
      </w:r>
      <w:r>
        <w:rPr>
          <w:rFonts w:hint="eastAsia"/>
          <w:lang w:val="en-US" w:eastAsia="zh-CN"/>
        </w:rPr>
        <w:t>5</w:t>
      </w:r>
      <w:r>
        <w:t xml:space="preserve"> 近三年与本次招标书中要求的同类业绩和合同履行情</w:t>
      </w:r>
      <w:r>
        <w:rPr>
          <w:rFonts w:hint="eastAsia"/>
        </w:rPr>
        <w:t>况</w:t>
      </w:r>
      <w:bookmarkEnd w:id="56"/>
    </w:p>
    <w:p w14:paraId="73A2BAB7">
      <w:pPr>
        <w:numPr>
          <w:ilvl w:val="0"/>
          <w:numId w:val="0"/>
        </w:numPr>
        <w:ind w:left="0" w:leftChars="0" w:firstLine="480" w:firstLineChars="200"/>
      </w:pPr>
      <w:r>
        <w:rPr>
          <w:rFonts w:hint="eastAsia"/>
          <w:lang w:val="en-US" w:eastAsia="zh-CN"/>
        </w:rPr>
        <w:t>1、近三年</w:t>
      </w:r>
      <w:r>
        <w:rPr>
          <w:rFonts w:hint="eastAsia"/>
        </w:rPr>
        <w:t>类似项目工作简况</w:t>
      </w: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3"/>
        <w:gridCol w:w="2030"/>
        <w:gridCol w:w="1126"/>
        <w:gridCol w:w="1989"/>
        <w:gridCol w:w="1322"/>
        <w:gridCol w:w="1303"/>
      </w:tblGrid>
      <w:tr w14:paraId="1688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442" w:type="pct"/>
            <w:shd w:val="clear" w:color="auto" w:fill="auto"/>
            <w:vAlign w:val="center"/>
          </w:tcPr>
          <w:p w14:paraId="103A6493">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190" w:type="pct"/>
            <w:shd w:val="clear" w:color="auto" w:fill="auto"/>
            <w:vAlign w:val="center"/>
          </w:tcPr>
          <w:p w14:paraId="02E28E79">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客户名称（上市公司名称及证券代码）</w:t>
            </w:r>
          </w:p>
        </w:tc>
        <w:tc>
          <w:tcPr>
            <w:tcW w:w="660" w:type="pct"/>
            <w:shd w:val="clear" w:color="auto" w:fill="auto"/>
            <w:vAlign w:val="center"/>
          </w:tcPr>
          <w:p w14:paraId="785E9AB1">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所属行业</w:t>
            </w:r>
          </w:p>
        </w:tc>
        <w:tc>
          <w:tcPr>
            <w:tcW w:w="1166" w:type="pct"/>
            <w:shd w:val="clear" w:color="auto" w:fill="auto"/>
            <w:vAlign w:val="center"/>
          </w:tcPr>
          <w:p w14:paraId="39313924">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审计服务内容（如年报/内控等）</w:t>
            </w:r>
          </w:p>
        </w:tc>
        <w:tc>
          <w:tcPr>
            <w:tcW w:w="775" w:type="pct"/>
            <w:shd w:val="clear" w:color="auto" w:fill="auto"/>
            <w:vAlign w:val="center"/>
          </w:tcPr>
          <w:p w14:paraId="0BA2508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审计年度</w:t>
            </w:r>
          </w:p>
        </w:tc>
        <w:tc>
          <w:tcPr>
            <w:tcW w:w="764" w:type="pct"/>
            <w:shd w:val="clear" w:color="auto" w:fill="auto"/>
            <w:vAlign w:val="center"/>
          </w:tcPr>
          <w:p w14:paraId="2B5BC026">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项目状态（已完成/正在实施）</w:t>
            </w:r>
          </w:p>
        </w:tc>
      </w:tr>
      <w:tr w14:paraId="01C2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42" w:type="pct"/>
            <w:shd w:val="clear" w:color="auto" w:fill="auto"/>
            <w:vAlign w:val="center"/>
          </w:tcPr>
          <w:p w14:paraId="417AC4E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190" w:type="pct"/>
            <w:shd w:val="clear" w:color="auto" w:fill="auto"/>
            <w:vAlign w:val="center"/>
          </w:tcPr>
          <w:p w14:paraId="00B2DC5C">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660" w:type="pct"/>
            <w:shd w:val="clear" w:color="auto" w:fill="auto"/>
            <w:vAlign w:val="center"/>
          </w:tcPr>
          <w:p w14:paraId="081102B8">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1166" w:type="pct"/>
            <w:shd w:val="clear" w:color="auto" w:fill="auto"/>
            <w:vAlign w:val="center"/>
          </w:tcPr>
          <w:p w14:paraId="0FF265DB">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775" w:type="pct"/>
            <w:shd w:val="clear" w:color="auto" w:fill="auto"/>
            <w:vAlign w:val="center"/>
          </w:tcPr>
          <w:p w14:paraId="37B16B8E">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764" w:type="pct"/>
            <w:shd w:val="clear" w:color="auto" w:fill="auto"/>
            <w:vAlign w:val="center"/>
          </w:tcPr>
          <w:p w14:paraId="341185F1">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宋体" w:hAnsi="宋体" w:eastAsia="宋体" w:cs="宋体"/>
                <w:b w:val="0"/>
                <w:bCs w:val="0"/>
                <w:i w:val="0"/>
                <w:iCs w:val="0"/>
                <w:color w:val="000000"/>
                <w:sz w:val="21"/>
                <w:szCs w:val="21"/>
                <w:u w:val="none"/>
              </w:rPr>
            </w:pPr>
          </w:p>
        </w:tc>
      </w:tr>
      <w:tr w14:paraId="11B0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42" w:type="pct"/>
            <w:shd w:val="clear" w:color="auto" w:fill="auto"/>
            <w:vAlign w:val="center"/>
          </w:tcPr>
          <w:p w14:paraId="6D0C22C7">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190" w:type="pct"/>
            <w:shd w:val="clear" w:color="auto" w:fill="auto"/>
            <w:vAlign w:val="center"/>
          </w:tcPr>
          <w:p w14:paraId="0EBB1E15">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660" w:type="pct"/>
            <w:shd w:val="clear" w:color="auto" w:fill="auto"/>
            <w:vAlign w:val="center"/>
          </w:tcPr>
          <w:p w14:paraId="77178A34">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1166" w:type="pct"/>
            <w:shd w:val="clear" w:color="auto" w:fill="auto"/>
            <w:vAlign w:val="center"/>
          </w:tcPr>
          <w:p w14:paraId="7156F018">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775" w:type="pct"/>
            <w:shd w:val="clear" w:color="auto" w:fill="auto"/>
            <w:vAlign w:val="center"/>
          </w:tcPr>
          <w:p w14:paraId="2CC37DDC">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764" w:type="pct"/>
            <w:shd w:val="clear" w:color="auto" w:fill="auto"/>
            <w:vAlign w:val="center"/>
          </w:tcPr>
          <w:p w14:paraId="2C614DF3">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宋体" w:hAnsi="宋体" w:eastAsia="宋体" w:cs="宋体"/>
                <w:b w:val="0"/>
                <w:bCs w:val="0"/>
                <w:i w:val="0"/>
                <w:iCs w:val="0"/>
                <w:color w:val="000000"/>
                <w:sz w:val="21"/>
                <w:szCs w:val="21"/>
                <w:u w:val="none"/>
              </w:rPr>
            </w:pPr>
          </w:p>
        </w:tc>
      </w:tr>
      <w:tr w14:paraId="73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42" w:type="pct"/>
            <w:shd w:val="clear" w:color="auto" w:fill="auto"/>
            <w:vAlign w:val="center"/>
          </w:tcPr>
          <w:p w14:paraId="7172071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190" w:type="pct"/>
            <w:shd w:val="clear" w:color="auto" w:fill="auto"/>
            <w:vAlign w:val="center"/>
          </w:tcPr>
          <w:p w14:paraId="745C8F05">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660" w:type="pct"/>
            <w:shd w:val="clear" w:color="auto" w:fill="auto"/>
            <w:vAlign w:val="center"/>
          </w:tcPr>
          <w:p w14:paraId="5C4C7014">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1166" w:type="pct"/>
            <w:shd w:val="clear" w:color="auto" w:fill="auto"/>
            <w:vAlign w:val="center"/>
          </w:tcPr>
          <w:p w14:paraId="02F187A0">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775" w:type="pct"/>
            <w:shd w:val="clear" w:color="auto" w:fill="auto"/>
            <w:vAlign w:val="center"/>
          </w:tcPr>
          <w:p w14:paraId="69D12E51">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764" w:type="pct"/>
            <w:shd w:val="clear" w:color="auto" w:fill="auto"/>
            <w:vAlign w:val="center"/>
          </w:tcPr>
          <w:p w14:paraId="5C341AB9">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宋体" w:hAnsi="宋体" w:eastAsia="宋体" w:cs="宋体"/>
                <w:b w:val="0"/>
                <w:bCs w:val="0"/>
                <w:i w:val="0"/>
                <w:iCs w:val="0"/>
                <w:color w:val="000000"/>
                <w:sz w:val="21"/>
                <w:szCs w:val="21"/>
                <w:u w:val="none"/>
              </w:rPr>
            </w:pPr>
          </w:p>
        </w:tc>
      </w:tr>
      <w:tr w14:paraId="54C5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42" w:type="pct"/>
            <w:shd w:val="clear" w:color="auto" w:fill="auto"/>
            <w:vAlign w:val="center"/>
          </w:tcPr>
          <w:p w14:paraId="20E59B4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cs="宋体"/>
                <w:b w:val="0"/>
                <w:bCs w:val="0"/>
                <w:i w:val="0"/>
                <w:iCs w:val="0"/>
                <w:color w:val="000000"/>
                <w:kern w:val="0"/>
                <w:sz w:val="21"/>
                <w:szCs w:val="21"/>
                <w:u w:val="none"/>
                <w:lang w:val="en-US" w:eastAsia="zh-CN" w:bidi="ar"/>
              </w:rPr>
              <w:t>4</w:t>
            </w:r>
          </w:p>
        </w:tc>
        <w:tc>
          <w:tcPr>
            <w:tcW w:w="1190" w:type="pct"/>
            <w:shd w:val="clear" w:color="auto" w:fill="auto"/>
            <w:vAlign w:val="center"/>
          </w:tcPr>
          <w:p w14:paraId="3B90DADD">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660" w:type="pct"/>
            <w:shd w:val="clear" w:color="auto" w:fill="auto"/>
            <w:vAlign w:val="center"/>
          </w:tcPr>
          <w:p w14:paraId="6E6CF7DB">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1166" w:type="pct"/>
            <w:shd w:val="clear" w:color="auto" w:fill="auto"/>
            <w:vAlign w:val="center"/>
          </w:tcPr>
          <w:p w14:paraId="5DA602F1">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775" w:type="pct"/>
            <w:shd w:val="clear" w:color="auto" w:fill="auto"/>
            <w:vAlign w:val="center"/>
          </w:tcPr>
          <w:p w14:paraId="2FFD42D5">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764" w:type="pct"/>
            <w:shd w:val="clear" w:color="auto" w:fill="auto"/>
            <w:vAlign w:val="center"/>
          </w:tcPr>
          <w:p w14:paraId="49301B8B">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宋体" w:hAnsi="宋体" w:eastAsia="宋体" w:cs="宋体"/>
                <w:b w:val="0"/>
                <w:bCs w:val="0"/>
                <w:i w:val="0"/>
                <w:iCs w:val="0"/>
                <w:color w:val="000000"/>
                <w:sz w:val="21"/>
                <w:szCs w:val="21"/>
                <w:u w:val="none"/>
              </w:rPr>
            </w:pPr>
          </w:p>
        </w:tc>
      </w:tr>
      <w:tr w14:paraId="5CF6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42" w:type="pct"/>
            <w:shd w:val="clear" w:color="auto" w:fill="auto"/>
            <w:vAlign w:val="center"/>
          </w:tcPr>
          <w:p w14:paraId="744D6BA0">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cs="宋体"/>
                <w:b w:val="0"/>
                <w:bCs w:val="0"/>
                <w:i w:val="0"/>
                <w:iCs w:val="0"/>
                <w:color w:val="000000"/>
                <w:kern w:val="0"/>
                <w:sz w:val="21"/>
                <w:szCs w:val="21"/>
                <w:u w:val="none"/>
                <w:lang w:val="en-US" w:eastAsia="zh-CN" w:bidi="ar"/>
              </w:rPr>
            </w:pPr>
            <w:r>
              <w:rPr>
                <w:rFonts w:hint="eastAsia" w:cs="宋体"/>
                <w:b w:val="0"/>
                <w:bCs w:val="0"/>
                <w:i w:val="0"/>
                <w:iCs w:val="0"/>
                <w:color w:val="000000"/>
                <w:kern w:val="0"/>
                <w:sz w:val="21"/>
                <w:szCs w:val="21"/>
                <w:u w:val="none"/>
                <w:lang w:val="en-US" w:eastAsia="zh-CN" w:bidi="ar"/>
              </w:rPr>
              <w:t>5</w:t>
            </w:r>
          </w:p>
        </w:tc>
        <w:tc>
          <w:tcPr>
            <w:tcW w:w="1190" w:type="pct"/>
            <w:shd w:val="clear" w:color="auto" w:fill="auto"/>
            <w:vAlign w:val="center"/>
          </w:tcPr>
          <w:p w14:paraId="55E5AF48">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660" w:type="pct"/>
            <w:shd w:val="clear" w:color="auto" w:fill="auto"/>
            <w:vAlign w:val="center"/>
          </w:tcPr>
          <w:p w14:paraId="1832D63E">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1166" w:type="pct"/>
            <w:shd w:val="clear" w:color="auto" w:fill="auto"/>
            <w:vAlign w:val="center"/>
          </w:tcPr>
          <w:p w14:paraId="52641B4F">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775" w:type="pct"/>
            <w:shd w:val="clear" w:color="auto" w:fill="auto"/>
            <w:vAlign w:val="center"/>
          </w:tcPr>
          <w:p w14:paraId="7F2A7A7B">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764" w:type="pct"/>
            <w:shd w:val="clear" w:color="auto" w:fill="auto"/>
            <w:vAlign w:val="center"/>
          </w:tcPr>
          <w:p w14:paraId="64102F7D">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宋体" w:hAnsi="宋体" w:eastAsia="宋体" w:cs="宋体"/>
                <w:b w:val="0"/>
                <w:bCs w:val="0"/>
                <w:i w:val="0"/>
                <w:iCs w:val="0"/>
                <w:color w:val="000000"/>
                <w:sz w:val="21"/>
                <w:szCs w:val="21"/>
                <w:u w:val="none"/>
              </w:rPr>
            </w:pPr>
          </w:p>
        </w:tc>
      </w:tr>
      <w:tr w14:paraId="261B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2" w:type="pct"/>
            <w:shd w:val="clear" w:color="auto" w:fill="auto"/>
            <w:vAlign w:val="center"/>
          </w:tcPr>
          <w:p w14:paraId="6189786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cs="宋体"/>
                <w:b w:val="0"/>
                <w:bCs w:val="0"/>
                <w:i w:val="0"/>
                <w:iCs w:val="0"/>
                <w:color w:val="000000"/>
                <w:kern w:val="0"/>
                <w:sz w:val="21"/>
                <w:szCs w:val="21"/>
                <w:u w:val="none"/>
                <w:lang w:val="en-US" w:eastAsia="zh-CN" w:bidi="ar"/>
              </w:rPr>
            </w:pPr>
            <w:r>
              <w:rPr>
                <w:rFonts w:hint="eastAsia" w:cs="宋体"/>
                <w:b w:val="0"/>
                <w:bCs w:val="0"/>
                <w:i w:val="0"/>
                <w:iCs w:val="0"/>
                <w:color w:val="000000"/>
                <w:kern w:val="0"/>
                <w:sz w:val="21"/>
                <w:szCs w:val="21"/>
                <w:u w:val="none"/>
                <w:lang w:val="en-US" w:eastAsia="zh-CN" w:bidi="ar"/>
              </w:rPr>
              <w:t>……</w:t>
            </w:r>
          </w:p>
        </w:tc>
        <w:tc>
          <w:tcPr>
            <w:tcW w:w="1190" w:type="pct"/>
            <w:shd w:val="clear" w:color="auto" w:fill="auto"/>
            <w:vAlign w:val="center"/>
          </w:tcPr>
          <w:p w14:paraId="30552533">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660" w:type="pct"/>
            <w:shd w:val="clear" w:color="auto" w:fill="auto"/>
            <w:vAlign w:val="center"/>
          </w:tcPr>
          <w:p w14:paraId="51D05618">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1166" w:type="pct"/>
            <w:shd w:val="clear" w:color="auto" w:fill="auto"/>
            <w:vAlign w:val="center"/>
          </w:tcPr>
          <w:p w14:paraId="2EB95C54">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775" w:type="pct"/>
            <w:shd w:val="clear" w:color="auto" w:fill="auto"/>
            <w:vAlign w:val="center"/>
          </w:tcPr>
          <w:p w14:paraId="4C2528BB">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764" w:type="pct"/>
            <w:shd w:val="clear" w:color="auto" w:fill="auto"/>
            <w:vAlign w:val="center"/>
          </w:tcPr>
          <w:p w14:paraId="52E18B55">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宋体" w:hAnsi="宋体" w:eastAsia="宋体" w:cs="宋体"/>
                <w:b w:val="0"/>
                <w:bCs w:val="0"/>
                <w:i w:val="0"/>
                <w:iCs w:val="0"/>
                <w:color w:val="000000"/>
                <w:sz w:val="21"/>
                <w:szCs w:val="21"/>
                <w:u w:val="none"/>
              </w:rPr>
            </w:pPr>
          </w:p>
        </w:tc>
      </w:tr>
      <w:tr w14:paraId="387A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2" w:type="pct"/>
            <w:shd w:val="clear" w:color="auto" w:fill="auto"/>
            <w:vAlign w:val="center"/>
          </w:tcPr>
          <w:p w14:paraId="1B26EE82">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cs="宋体"/>
                <w:b w:val="0"/>
                <w:bCs w:val="0"/>
                <w:i w:val="0"/>
                <w:iCs w:val="0"/>
                <w:color w:val="000000"/>
                <w:kern w:val="0"/>
                <w:sz w:val="21"/>
                <w:szCs w:val="21"/>
                <w:u w:val="none"/>
                <w:lang w:val="en-US" w:eastAsia="zh-CN" w:bidi="ar"/>
              </w:rPr>
            </w:pPr>
            <w:r>
              <w:rPr>
                <w:rFonts w:hint="eastAsia" w:cs="宋体"/>
                <w:b w:val="0"/>
                <w:bCs w:val="0"/>
                <w:i w:val="0"/>
                <w:iCs w:val="0"/>
                <w:color w:val="000000"/>
                <w:kern w:val="0"/>
                <w:sz w:val="21"/>
                <w:szCs w:val="21"/>
                <w:u w:val="none"/>
                <w:lang w:val="en-US" w:eastAsia="zh-CN" w:bidi="ar"/>
              </w:rPr>
              <w:t>……</w:t>
            </w:r>
          </w:p>
        </w:tc>
        <w:tc>
          <w:tcPr>
            <w:tcW w:w="1190" w:type="pct"/>
            <w:shd w:val="clear" w:color="auto" w:fill="auto"/>
            <w:vAlign w:val="center"/>
          </w:tcPr>
          <w:p w14:paraId="7180C0A0">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660" w:type="pct"/>
            <w:shd w:val="clear" w:color="auto" w:fill="auto"/>
            <w:vAlign w:val="center"/>
          </w:tcPr>
          <w:p w14:paraId="59ECD6AF">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1166" w:type="pct"/>
            <w:shd w:val="clear" w:color="auto" w:fill="auto"/>
            <w:vAlign w:val="center"/>
          </w:tcPr>
          <w:p w14:paraId="016F5BE0">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宋体" w:hAnsi="宋体" w:eastAsia="宋体" w:cs="宋体"/>
                <w:b w:val="0"/>
                <w:bCs w:val="0"/>
                <w:i w:val="0"/>
                <w:iCs w:val="0"/>
                <w:color w:val="000000"/>
                <w:sz w:val="21"/>
                <w:szCs w:val="21"/>
                <w:u w:val="none"/>
              </w:rPr>
            </w:pPr>
          </w:p>
        </w:tc>
        <w:tc>
          <w:tcPr>
            <w:tcW w:w="775" w:type="pct"/>
            <w:shd w:val="clear" w:color="auto" w:fill="auto"/>
            <w:vAlign w:val="center"/>
          </w:tcPr>
          <w:p w14:paraId="3E5028C7">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宋体" w:hAnsi="宋体" w:eastAsia="宋体" w:cs="宋体"/>
                <w:b w:val="0"/>
                <w:bCs w:val="0"/>
                <w:i w:val="0"/>
                <w:iCs w:val="0"/>
                <w:color w:val="000000"/>
                <w:sz w:val="21"/>
                <w:szCs w:val="21"/>
                <w:u w:val="none"/>
              </w:rPr>
            </w:pPr>
          </w:p>
        </w:tc>
        <w:tc>
          <w:tcPr>
            <w:tcW w:w="764" w:type="pct"/>
            <w:shd w:val="clear" w:color="auto" w:fill="auto"/>
            <w:vAlign w:val="center"/>
          </w:tcPr>
          <w:p w14:paraId="4B9A142F">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宋体" w:hAnsi="宋体" w:eastAsia="宋体" w:cs="宋体"/>
                <w:b w:val="0"/>
                <w:bCs w:val="0"/>
                <w:i w:val="0"/>
                <w:iCs w:val="0"/>
                <w:color w:val="000000"/>
                <w:sz w:val="21"/>
                <w:szCs w:val="21"/>
                <w:u w:val="none"/>
              </w:rPr>
            </w:pPr>
          </w:p>
        </w:tc>
      </w:tr>
    </w:tbl>
    <w:p w14:paraId="31989E6F">
      <w:pPr>
        <w:rPr>
          <w:rFonts w:hint="eastAsia" w:eastAsia="宋体"/>
          <w:lang w:eastAsia="zh-CN"/>
        </w:rPr>
      </w:pPr>
      <w:r>
        <w:rPr>
          <w:rFonts w:hint="eastAsia"/>
          <w:lang w:val="en-US" w:eastAsia="zh-CN"/>
        </w:rPr>
        <w:t>2</w:t>
      </w:r>
      <w:r>
        <w:t>、已完成的类似项目</w:t>
      </w:r>
      <w:r>
        <w:rPr>
          <w:rFonts w:hint="eastAsia"/>
          <w:lang w:val="en-US" w:eastAsia="zh-CN"/>
        </w:rPr>
        <w:t>需提供</w:t>
      </w:r>
      <w:r>
        <w:t>审计报告正文签字盖章</w:t>
      </w:r>
      <w:r>
        <w:rPr>
          <w:rFonts w:hint="eastAsia"/>
        </w:rPr>
        <w:t>页</w:t>
      </w:r>
      <w:r>
        <w:rPr>
          <w:rFonts w:hint="eastAsia"/>
          <w:lang w:eastAsia="zh-CN"/>
        </w:rPr>
        <w:t>；</w:t>
      </w:r>
    </w:p>
    <w:p w14:paraId="3B45C723">
      <w:pPr>
        <w:numPr>
          <w:ilvl w:val="0"/>
          <w:numId w:val="0"/>
        </w:numPr>
        <w:ind w:left="0" w:leftChars="0" w:firstLine="480" w:firstLineChars="200"/>
        <w:rPr>
          <w:rFonts w:hint="eastAsia"/>
          <w:lang w:val="en-US" w:eastAsia="zh-CN"/>
        </w:rPr>
      </w:pPr>
      <w:r>
        <w:rPr>
          <w:rFonts w:hint="eastAsia"/>
          <w:lang w:val="en-US" w:eastAsia="zh-CN"/>
        </w:rPr>
        <w:t>3、</w:t>
      </w:r>
      <w:r>
        <w:t>正在实施的类似项目</w:t>
      </w:r>
      <w:r>
        <w:rPr>
          <w:rFonts w:hint="eastAsia"/>
          <w:lang w:eastAsia="zh-CN"/>
        </w:rPr>
        <w:t>，</w:t>
      </w:r>
      <w:r>
        <w:t>须</w:t>
      </w:r>
      <w:r>
        <w:rPr>
          <w:rFonts w:hint="eastAsia"/>
          <w:lang w:val="en-US" w:eastAsia="zh-CN"/>
        </w:rPr>
        <w:t>提供</w:t>
      </w:r>
      <w:r>
        <w:rPr>
          <w:rFonts w:hint="eastAsia"/>
        </w:rPr>
        <w:t>合同关键页</w:t>
      </w:r>
      <w:r>
        <w:rPr>
          <w:rFonts w:hint="eastAsia"/>
          <w:lang w:val="en-US" w:eastAsia="zh-CN"/>
        </w:rPr>
        <w:t>复印件</w:t>
      </w:r>
      <w:r>
        <w:rPr>
          <w:rFonts w:hint="eastAsia"/>
        </w:rPr>
        <w:t>或中标通知书</w:t>
      </w:r>
      <w:r>
        <w:rPr>
          <w:rFonts w:hint="eastAsia"/>
          <w:lang w:val="en-US" w:eastAsia="zh-CN"/>
        </w:rPr>
        <w:t>复印件；</w:t>
      </w:r>
    </w:p>
    <w:p w14:paraId="541E2700">
      <w:pPr>
        <w:numPr>
          <w:ilvl w:val="0"/>
          <w:numId w:val="0"/>
        </w:numPr>
        <w:ind w:left="0" w:leftChars="0" w:firstLine="480" w:firstLineChars="200"/>
        <w:rPr>
          <w:rFonts w:hint="eastAsia" w:eastAsia="宋体"/>
          <w:lang w:eastAsia="zh-CN"/>
        </w:rPr>
      </w:pPr>
      <w:r>
        <w:rPr>
          <w:rFonts w:hint="eastAsia"/>
          <w:lang w:val="en-US" w:eastAsia="zh-CN"/>
        </w:rPr>
        <w:t>4、</w:t>
      </w:r>
      <w:r>
        <w:t>项目包括已收到中标通知书但尚未签订合同的项目</w:t>
      </w:r>
      <w:r>
        <w:rPr>
          <w:rFonts w:hint="eastAsia"/>
          <w:lang w:eastAsia="zh-CN"/>
        </w:rPr>
        <w:t>。</w:t>
      </w:r>
    </w:p>
    <w:p w14:paraId="53108CD1">
      <w:r>
        <w:br w:type="page"/>
      </w:r>
    </w:p>
    <w:p w14:paraId="34A0BB1F">
      <w:pPr>
        <w:pStyle w:val="3"/>
        <w:ind w:firstLine="560"/>
        <w:rPr>
          <w:b/>
        </w:rPr>
      </w:pPr>
      <w:bookmarkStart w:id="57" w:name="_Toc2723"/>
      <w:r>
        <w:rPr>
          <w:rFonts w:hint="eastAsia"/>
        </w:rPr>
        <w:t>附件</w:t>
      </w:r>
      <w:r>
        <w:rPr>
          <w:rFonts w:hint="eastAsia"/>
          <w:lang w:val="en-US" w:eastAsia="zh-CN"/>
        </w:rPr>
        <w:t>6</w:t>
      </w:r>
      <w:r>
        <w:t xml:space="preserve"> 组织机构、人员情况</w:t>
      </w:r>
      <w:bookmarkEnd w:id="57"/>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2075"/>
        <w:gridCol w:w="2076"/>
        <w:gridCol w:w="2076"/>
      </w:tblGrid>
      <w:tr w14:paraId="00CF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center"/>
          </w:tcPr>
          <w:p w14:paraId="537D6FF9">
            <w:pPr>
              <w:spacing w:line="240" w:lineRule="auto"/>
              <w:jc w:val="left"/>
            </w:pPr>
            <w:r>
              <w:rPr>
                <w:rFonts w:hint="eastAsia"/>
              </w:rPr>
              <w:t>单位名称</w:t>
            </w:r>
          </w:p>
        </w:tc>
        <w:tc>
          <w:tcPr>
            <w:tcW w:w="2075" w:type="dxa"/>
            <w:vAlign w:val="center"/>
          </w:tcPr>
          <w:p w14:paraId="0D0AB8E3"/>
        </w:tc>
        <w:tc>
          <w:tcPr>
            <w:tcW w:w="2076" w:type="dxa"/>
            <w:vAlign w:val="center"/>
          </w:tcPr>
          <w:p w14:paraId="40BCF17E">
            <w:pPr>
              <w:spacing w:line="240" w:lineRule="auto"/>
              <w:ind w:left="0" w:leftChars="0" w:firstLine="0" w:firstLineChars="0"/>
              <w:jc w:val="center"/>
              <w:rPr>
                <w:rFonts w:hint="eastAsia" w:eastAsia="宋体"/>
                <w:lang w:eastAsia="zh-CN"/>
              </w:rPr>
            </w:pPr>
            <w:r>
              <w:rPr>
                <w:rFonts w:hint="eastAsia"/>
                <w:lang w:eastAsia="zh-CN"/>
              </w:rPr>
              <w:t>执行事务合伙人/单位负责人</w:t>
            </w:r>
          </w:p>
        </w:tc>
        <w:tc>
          <w:tcPr>
            <w:tcW w:w="2076" w:type="dxa"/>
            <w:vAlign w:val="center"/>
          </w:tcPr>
          <w:p w14:paraId="250D57EB"/>
        </w:tc>
      </w:tr>
      <w:tr w14:paraId="3E9E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5" w:type="dxa"/>
            <w:vAlign w:val="center"/>
          </w:tcPr>
          <w:p w14:paraId="27F6B15A">
            <w:pPr>
              <w:spacing w:line="240" w:lineRule="auto"/>
              <w:jc w:val="left"/>
            </w:pPr>
            <w:r>
              <w:rPr>
                <w:rFonts w:hint="eastAsia"/>
              </w:rPr>
              <w:t>注册地址</w:t>
            </w:r>
          </w:p>
        </w:tc>
        <w:tc>
          <w:tcPr>
            <w:tcW w:w="2075" w:type="dxa"/>
            <w:vAlign w:val="center"/>
          </w:tcPr>
          <w:p w14:paraId="19F9C1B2">
            <w:pPr>
              <w:spacing w:line="240" w:lineRule="auto"/>
            </w:pPr>
          </w:p>
        </w:tc>
        <w:tc>
          <w:tcPr>
            <w:tcW w:w="2076" w:type="dxa"/>
            <w:vAlign w:val="center"/>
          </w:tcPr>
          <w:p w14:paraId="13E0B714">
            <w:pPr>
              <w:spacing w:line="240" w:lineRule="auto"/>
              <w:ind w:left="0" w:leftChars="0" w:firstLine="0" w:firstLineChars="0"/>
              <w:jc w:val="center"/>
            </w:pPr>
            <w:r>
              <w:t>办公地址</w:t>
            </w:r>
          </w:p>
        </w:tc>
        <w:tc>
          <w:tcPr>
            <w:tcW w:w="2076" w:type="dxa"/>
            <w:vAlign w:val="center"/>
          </w:tcPr>
          <w:p w14:paraId="05A3060B">
            <w:pPr>
              <w:spacing w:line="240" w:lineRule="auto"/>
            </w:pPr>
          </w:p>
        </w:tc>
      </w:tr>
      <w:tr w14:paraId="57A2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5" w:type="dxa"/>
            <w:vAlign w:val="center"/>
          </w:tcPr>
          <w:p w14:paraId="43910FB6">
            <w:pPr>
              <w:spacing w:line="240" w:lineRule="auto"/>
              <w:jc w:val="left"/>
            </w:pPr>
            <w:r>
              <w:rPr>
                <w:rFonts w:hint="eastAsia"/>
              </w:rPr>
              <w:t>设立时间</w:t>
            </w:r>
          </w:p>
        </w:tc>
        <w:tc>
          <w:tcPr>
            <w:tcW w:w="2075" w:type="dxa"/>
            <w:vAlign w:val="center"/>
          </w:tcPr>
          <w:p w14:paraId="53EA7E3B">
            <w:pPr>
              <w:spacing w:line="240" w:lineRule="auto"/>
            </w:pPr>
          </w:p>
        </w:tc>
        <w:tc>
          <w:tcPr>
            <w:tcW w:w="2076" w:type="dxa"/>
            <w:vAlign w:val="center"/>
          </w:tcPr>
          <w:p w14:paraId="105DDEDB">
            <w:pPr>
              <w:spacing w:line="240" w:lineRule="auto"/>
              <w:ind w:left="0" w:leftChars="0" w:firstLine="0" w:firstLineChars="0"/>
              <w:jc w:val="center"/>
            </w:pPr>
            <w:r>
              <w:t>出资额</w:t>
            </w:r>
          </w:p>
        </w:tc>
        <w:tc>
          <w:tcPr>
            <w:tcW w:w="2076" w:type="dxa"/>
            <w:vAlign w:val="center"/>
          </w:tcPr>
          <w:p w14:paraId="2150D84E">
            <w:pPr>
              <w:spacing w:line="240" w:lineRule="auto"/>
            </w:pPr>
          </w:p>
        </w:tc>
      </w:tr>
      <w:tr w14:paraId="3A8C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5" w:type="dxa"/>
            <w:vAlign w:val="center"/>
          </w:tcPr>
          <w:p w14:paraId="01386749">
            <w:pPr>
              <w:spacing w:line="240" w:lineRule="auto"/>
              <w:jc w:val="left"/>
            </w:pPr>
            <w:r>
              <w:t>电话</w:t>
            </w:r>
          </w:p>
        </w:tc>
        <w:tc>
          <w:tcPr>
            <w:tcW w:w="2075" w:type="dxa"/>
            <w:vAlign w:val="center"/>
          </w:tcPr>
          <w:p w14:paraId="4E53DF1E">
            <w:pPr>
              <w:spacing w:line="240" w:lineRule="auto"/>
            </w:pPr>
          </w:p>
        </w:tc>
        <w:tc>
          <w:tcPr>
            <w:tcW w:w="2076" w:type="dxa"/>
            <w:vAlign w:val="center"/>
          </w:tcPr>
          <w:p w14:paraId="49468967">
            <w:pPr>
              <w:spacing w:line="240" w:lineRule="auto"/>
              <w:ind w:left="0" w:leftChars="0" w:firstLine="0" w:firstLineChars="0"/>
              <w:jc w:val="center"/>
              <w:rPr>
                <w:rFonts w:hint="eastAsia" w:eastAsia="宋体"/>
                <w:lang w:eastAsia="zh-CN"/>
              </w:rPr>
            </w:pPr>
            <w:r>
              <w:rPr>
                <w:rFonts w:hint="eastAsia"/>
                <w:lang w:val="en-US" w:eastAsia="zh-CN"/>
              </w:rPr>
              <w:t>邮箱</w:t>
            </w:r>
          </w:p>
        </w:tc>
        <w:tc>
          <w:tcPr>
            <w:tcW w:w="2076" w:type="dxa"/>
            <w:vAlign w:val="center"/>
          </w:tcPr>
          <w:p w14:paraId="2E21CE67">
            <w:pPr>
              <w:spacing w:line="240" w:lineRule="auto"/>
            </w:pPr>
          </w:p>
        </w:tc>
      </w:tr>
      <w:tr w14:paraId="3A38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5" w:type="dxa"/>
            <w:vAlign w:val="center"/>
          </w:tcPr>
          <w:p w14:paraId="0DEAB45C">
            <w:pPr>
              <w:spacing w:line="240" w:lineRule="auto"/>
              <w:jc w:val="left"/>
            </w:pPr>
            <w:r>
              <w:t>合伙人数</w:t>
            </w:r>
          </w:p>
        </w:tc>
        <w:tc>
          <w:tcPr>
            <w:tcW w:w="2075" w:type="dxa"/>
            <w:vAlign w:val="center"/>
          </w:tcPr>
          <w:p w14:paraId="4137D396">
            <w:pPr>
              <w:spacing w:line="240" w:lineRule="auto"/>
            </w:pPr>
          </w:p>
        </w:tc>
        <w:tc>
          <w:tcPr>
            <w:tcW w:w="2076" w:type="dxa"/>
            <w:vAlign w:val="center"/>
          </w:tcPr>
          <w:p w14:paraId="4FEA7BEE">
            <w:pPr>
              <w:spacing w:line="240" w:lineRule="auto"/>
              <w:ind w:left="0" w:leftChars="0" w:firstLine="0" w:firstLineChars="0"/>
              <w:jc w:val="center"/>
            </w:pPr>
            <w:r>
              <w:t>员工总人数</w:t>
            </w:r>
          </w:p>
        </w:tc>
        <w:tc>
          <w:tcPr>
            <w:tcW w:w="2076" w:type="dxa"/>
            <w:vAlign w:val="center"/>
          </w:tcPr>
          <w:p w14:paraId="0E3C81B8">
            <w:pPr>
              <w:spacing w:line="240" w:lineRule="auto"/>
            </w:pPr>
          </w:p>
        </w:tc>
      </w:tr>
      <w:tr w14:paraId="7750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5" w:type="dxa"/>
            <w:vAlign w:val="center"/>
          </w:tcPr>
          <w:p w14:paraId="4024FD92">
            <w:pPr>
              <w:spacing w:line="240" w:lineRule="auto"/>
              <w:ind w:firstLine="0" w:firstLineChars="0"/>
              <w:jc w:val="left"/>
            </w:pPr>
            <w:r>
              <w:rPr>
                <w:rFonts w:hint="eastAsia"/>
              </w:rPr>
              <w:t>注册会计师人数</w:t>
            </w:r>
          </w:p>
        </w:tc>
        <w:tc>
          <w:tcPr>
            <w:tcW w:w="6227" w:type="dxa"/>
            <w:gridSpan w:val="3"/>
            <w:vAlign w:val="center"/>
          </w:tcPr>
          <w:p w14:paraId="384E2699">
            <w:pPr>
              <w:spacing w:line="240" w:lineRule="auto"/>
            </w:pPr>
          </w:p>
        </w:tc>
      </w:tr>
      <w:tr w14:paraId="2FF0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5" w:type="dxa"/>
            <w:vAlign w:val="center"/>
          </w:tcPr>
          <w:p w14:paraId="0B6346AE">
            <w:pPr>
              <w:spacing w:line="240" w:lineRule="auto"/>
              <w:jc w:val="left"/>
            </w:pPr>
            <w:r>
              <w:rPr>
                <w:rFonts w:hint="eastAsia"/>
              </w:rPr>
              <w:t>从业年限</w:t>
            </w:r>
          </w:p>
        </w:tc>
        <w:tc>
          <w:tcPr>
            <w:tcW w:w="6227" w:type="dxa"/>
            <w:gridSpan w:val="3"/>
            <w:vAlign w:val="center"/>
          </w:tcPr>
          <w:p w14:paraId="102DE984">
            <w:pPr>
              <w:spacing w:line="240" w:lineRule="auto"/>
            </w:pPr>
          </w:p>
        </w:tc>
      </w:tr>
      <w:tr w14:paraId="0E0C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5" w:type="dxa"/>
            <w:vAlign w:val="center"/>
          </w:tcPr>
          <w:p w14:paraId="5B288004">
            <w:pPr>
              <w:spacing w:line="240" w:lineRule="auto"/>
              <w:jc w:val="left"/>
            </w:pPr>
            <w:r>
              <w:rPr>
                <w:rFonts w:hint="eastAsia"/>
              </w:rPr>
              <w:t>业务范围</w:t>
            </w:r>
          </w:p>
        </w:tc>
        <w:tc>
          <w:tcPr>
            <w:tcW w:w="6227" w:type="dxa"/>
            <w:gridSpan w:val="3"/>
            <w:vAlign w:val="center"/>
          </w:tcPr>
          <w:p w14:paraId="49DAFC1E">
            <w:pPr>
              <w:spacing w:line="240" w:lineRule="auto"/>
            </w:pPr>
          </w:p>
        </w:tc>
      </w:tr>
      <w:tr w14:paraId="7F1E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5" w:hRule="atLeast"/>
        </w:trPr>
        <w:tc>
          <w:tcPr>
            <w:tcW w:w="8302" w:type="dxa"/>
            <w:gridSpan w:val="4"/>
            <w:vAlign w:val="center"/>
          </w:tcPr>
          <w:p w14:paraId="6C051E73">
            <w:r>
              <w:rPr>
                <w:rFonts w:hint="eastAsia"/>
              </w:rPr>
              <w:t>组织机构图</w:t>
            </w:r>
            <w:r>
              <w:t xml:space="preserve"> </w:t>
            </w:r>
          </w:p>
          <w:p w14:paraId="429CC8F7">
            <w:r>
              <w:cr/>
            </w:r>
          </w:p>
          <w:p w14:paraId="01589374"/>
          <w:p w14:paraId="7C051FEF"/>
          <w:p w14:paraId="3661DD2E"/>
          <w:p w14:paraId="3E62196B"/>
          <w:p w14:paraId="04CDC0CE"/>
          <w:p w14:paraId="4CE8DDE9"/>
        </w:tc>
      </w:tr>
      <w:tr w14:paraId="052E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8302" w:type="dxa"/>
            <w:gridSpan w:val="4"/>
            <w:vAlign w:val="center"/>
          </w:tcPr>
          <w:p w14:paraId="757D56D4">
            <w:r>
              <w:rPr>
                <w:rFonts w:hint="eastAsia"/>
              </w:rPr>
              <w:t>企业基本情况介绍(包括但不限于公司成立时间长短、获得的资质、奖励，在</w:t>
            </w:r>
            <w:r>
              <w:rPr>
                <w:rFonts w:hint="eastAsia"/>
                <w:lang w:val="en-US" w:eastAsia="zh-CN"/>
              </w:rPr>
              <w:t>行</w:t>
            </w:r>
            <w:r>
              <w:rPr>
                <w:rFonts w:hint="eastAsia"/>
              </w:rPr>
              <w:t>业内的地位(业务收入、注册会计师人数及从业人员数量等信息)等;公司注册资本、人员及分支机构等)</w:t>
            </w:r>
          </w:p>
        </w:tc>
      </w:tr>
    </w:tbl>
    <w:p w14:paraId="5C235D61">
      <w:r>
        <w:rPr>
          <w:rFonts w:hint="eastAsia"/>
        </w:rPr>
        <w:t>注：</w:t>
      </w:r>
      <w:r>
        <w:rPr>
          <w:rFonts w:hint="eastAsia"/>
          <w:lang w:val="en-US" w:eastAsia="zh-CN"/>
        </w:rPr>
        <w:t>可</w:t>
      </w:r>
      <w:r>
        <w:t>提供在以往从事相关工作中所获得的荣誉、奖励等资料</w:t>
      </w:r>
    </w:p>
    <w:p w14:paraId="05794CD9">
      <w:r>
        <w:br w:type="page"/>
      </w:r>
    </w:p>
    <w:p w14:paraId="68BBF1C7">
      <w:pPr>
        <w:pStyle w:val="3"/>
        <w:ind w:firstLine="560"/>
        <w:rPr>
          <w:b/>
        </w:rPr>
      </w:pPr>
      <w:bookmarkStart w:id="58" w:name="_Toc17185"/>
      <w:r>
        <w:rPr>
          <w:rFonts w:hint="eastAsia"/>
        </w:rPr>
        <w:t>附件</w:t>
      </w:r>
      <w:r>
        <w:rPr>
          <w:rFonts w:hint="eastAsia"/>
          <w:lang w:val="en-US" w:eastAsia="zh-CN"/>
        </w:rPr>
        <w:t xml:space="preserve">7 </w:t>
      </w:r>
      <w:r>
        <w:t>团队配置(拟</w:t>
      </w:r>
      <w:r>
        <w:rPr>
          <w:rFonts w:hint="eastAsia"/>
          <w:lang w:val="en-US" w:eastAsia="zh-CN"/>
        </w:rPr>
        <w:t>投入到</w:t>
      </w:r>
      <w:r>
        <w:t>本项目的主要人员情况)</w:t>
      </w:r>
      <w:bookmarkEnd w:id="58"/>
    </w:p>
    <w:p w14:paraId="3BE43BB3"/>
    <w:p w14:paraId="61E38EBE">
      <w:r>
        <w:rPr>
          <w:rFonts w:hint="eastAsia"/>
        </w:rPr>
        <w:t>拟</w:t>
      </w:r>
      <w:r>
        <w:rPr>
          <w:rFonts w:hint="eastAsia"/>
          <w:lang w:val="en-US" w:eastAsia="zh-CN"/>
        </w:rPr>
        <w:t>投入到</w:t>
      </w:r>
      <w:r>
        <w:rPr>
          <w:rFonts w:hint="eastAsia"/>
        </w:rPr>
        <w:t>本项目的主要人员情况</w:t>
      </w:r>
    </w:p>
    <w:tbl>
      <w:tblPr>
        <w:tblStyle w:val="2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85"/>
        <w:gridCol w:w="1183"/>
        <w:gridCol w:w="1218"/>
        <w:gridCol w:w="1765"/>
        <w:gridCol w:w="2904"/>
      </w:tblGrid>
      <w:tr w14:paraId="3407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3" w:type="dxa"/>
            <w:gridSpan w:val="6"/>
            <w:vAlign w:val="center"/>
          </w:tcPr>
          <w:p w14:paraId="063F60D0">
            <w:pPr>
              <w:spacing w:line="240" w:lineRule="auto"/>
              <w:ind w:firstLine="0" w:firstLineChars="0"/>
              <w:rPr>
                <w:sz w:val="21"/>
                <w:szCs w:val="21"/>
              </w:rPr>
            </w:pPr>
            <w:r>
              <w:rPr>
                <w:rFonts w:hint="eastAsia"/>
                <w:sz w:val="21"/>
                <w:szCs w:val="21"/>
              </w:rPr>
              <w:t>签字会计师：</w:t>
            </w:r>
          </w:p>
        </w:tc>
      </w:tr>
      <w:tr w14:paraId="1700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0412B3F">
            <w:pPr>
              <w:spacing w:line="240" w:lineRule="auto"/>
              <w:ind w:firstLine="0" w:firstLineChars="0"/>
              <w:rPr>
                <w:sz w:val="21"/>
                <w:szCs w:val="21"/>
              </w:rPr>
            </w:pPr>
            <w:r>
              <w:rPr>
                <w:rFonts w:hint="eastAsia"/>
                <w:sz w:val="21"/>
                <w:szCs w:val="21"/>
              </w:rPr>
              <w:t>姓名</w:t>
            </w:r>
          </w:p>
        </w:tc>
        <w:tc>
          <w:tcPr>
            <w:tcW w:w="1085" w:type="dxa"/>
            <w:vAlign w:val="center"/>
          </w:tcPr>
          <w:p w14:paraId="7182FC8B">
            <w:pPr>
              <w:spacing w:line="240" w:lineRule="auto"/>
              <w:ind w:firstLine="0" w:firstLineChars="0"/>
              <w:rPr>
                <w:sz w:val="21"/>
                <w:szCs w:val="21"/>
              </w:rPr>
            </w:pPr>
            <w:r>
              <w:rPr>
                <w:rFonts w:hint="eastAsia"/>
                <w:sz w:val="21"/>
                <w:szCs w:val="21"/>
              </w:rPr>
              <w:t>职务</w:t>
            </w:r>
          </w:p>
        </w:tc>
        <w:tc>
          <w:tcPr>
            <w:tcW w:w="1183" w:type="dxa"/>
            <w:vAlign w:val="center"/>
          </w:tcPr>
          <w:p w14:paraId="25CAAAE5">
            <w:pPr>
              <w:spacing w:line="240" w:lineRule="auto"/>
              <w:ind w:firstLine="0" w:firstLineChars="0"/>
              <w:rPr>
                <w:sz w:val="21"/>
                <w:szCs w:val="21"/>
              </w:rPr>
            </w:pPr>
            <w:r>
              <w:rPr>
                <w:rFonts w:hint="eastAsia"/>
                <w:sz w:val="21"/>
                <w:szCs w:val="21"/>
              </w:rPr>
              <w:t>执业资格</w:t>
            </w:r>
          </w:p>
        </w:tc>
        <w:tc>
          <w:tcPr>
            <w:tcW w:w="1218" w:type="dxa"/>
            <w:vAlign w:val="center"/>
          </w:tcPr>
          <w:p w14:paraId="2312ACC1">
            <w:pPr>
              <w:spacing w:line="240" w:lineRule="auto"/>
              <w:ind w:firstLine="0" w:firstLineChars="0"/>
              <w:rPr>
                <w:sz w:val="21"/>
                <w:szCs w:val="21"/>
              </w:rPr>
            </w:pPr>
            <w:r>
              <w:rPr>
                <w:rFonts w:hint="eastAsia"/>
                <w:sz w:val="21"/>
                <w:szCs w:val="21"/>
              </w:rPr>
              <w:t>从事类似项目工作年限</w:t>
            </w:r>
          </w:p>
        </w:tc>
        <w:tc>
          <w:tcPr>
            <w:tcW w:w="1765" w:type="dxa"/>
            <w:vAlign w:val="center"/>
          </w:tcPr>
          <w:p w14:paraId="5E178BB1">
            <w:pPr>
              <w:spacing w:line="240" w:lineRule="auto"/>
              <w:ind w:firstLine="0" w:firstLineChars="0"/>
              <w:rPr>
                <w:rFonts w:hint="default" w:eastAsia="宋体"/>
                <w:sz w:val="21"/>
                <w:szCs w:val="21"/>
                <w:lang w:val="en-US" w:eastAsia="zh-CN"/>
              </w:rPr>
            </w:pPr>
            <w:r>
              <w:rPr>
                <w:rFonts w:hint="default" w:eastAsia="宋体"/>
                <w:sz w:val="21"/>
                <w:szCs w:val="21"/>
                <w:lang w:val="en-US" w:eastAsia="zh-CN"/>
              </w:rPr>
              <w:t>为本公司连续提供审计服务年限（首次填0）</w:t>
            </w:r>
          </w:p>
        </w:tc>
        <w:tc>
          <w:tcPr>
            <w:tcW w:w="2904" w:type="dxa"/>
            <w:vAlign w:val="center"/>
          </w:tcPr>
          <w:p w14:paraId="7954D2DB">
            <w:pPr>
              <w:spacing w:line="240" w:lineRule="auto"/>
              <w:ind w:firstLine="0" w:firstLineChars="0"/>
              <w:rPr>
                <w:sz w:val="21"/>
                <w:szCs w:val="21"/>
              </w:rPr>
            </w:pPr>
            <w:r>
              <w:rPr>
                <w:rFonts w:hint="eastAsia"/>
                <w:sz w:val="21"/>
                <w:szCs w:val="21"/>
              </w:rPr>
              <w:t>工作业绩和经历</w:t>
            </w:r>
          </w:p>
          <w:p w14:paraId="39BE0AE4">
            <w:pPr>
              <w:spacing w:line="240" w:lineRule="auto"/>
              <w:ind w:firstLine="0" w:firstLineChars="0"/>
              <w:rPr>
                <w:sz w:val="21"/>
                <w:szCs w:val="21"/>
              </w:rPr>
            </w:pPr>
            <w:r>
              <w:rPr>
                <w:rFonts w:hint="eastAsia"/>
                <w:sz w:val="21"/>
                <w:szCs w:val="21"/>
              </w:rPr>
              <w:t>（项目规模及个人工作范围）</w:t>
            </w:r>
          </w:p>
        </w:tc>
      </w:tr>
      <w:tr w14:paraId="2607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C76D5BF">
            <w:pPr>
              <w:spacing w:line="240" w:lineRule="auto"/>
              <w:ind w:firstLine="0" w:firstLineChars="0"/>
              <w:rPr>
                <w:sz w:val="21"/>
                <w:szCs w:val="21"/>
              </w:rPr>
            </w:pPr>
          </w:p>
        </w:tc>
        <w:tc>
          <w:tcPr>
            <w:tcW w:w="1085" w:type="dxa"/>
            <w:vAlign w:val="center"/>
          </w:tcPr>
          <w:p w14:paraId="731D9DCE">
            <w:pPr>
              <w:spacing w:line="240" w:lineRule="auto"/>
              <w:ind w:firstLine="0" w:firstLineChars="0"/>
              <w:rPr>
                <w:sz w:val="21"/>
                <w:szCs w:val="21"/>
              </w:rPr>
            </w:pPr>
          </w:p>
        </w:tc>
        <w:tc>
          <w:tcPr>
            <w:tcW w:w="1183" w:type="dxa"/>
            <w:vAlign w:val="center"/>
          </w:tcPr>
          <w:p w14:paraId="689B7206">
            <w:pPr>
              <w:spacing w:line="240" w:lineRule="auto"/>
              <w:ind w:firstLine="0" w:firstLineChars="0"/>
              <w:rPr>
                <w:sz w:val="21"/>
                <w:szCs w:val="21"/>
              </w:rPr>
            </w:pPr>
          </w:p>
        </w:tc>
        <w:tc>
          <w:tcPr>
            <w:tcW w:w="1218" w:type="dxa"/>
            <w:vAlign w:val="center"/>
          </w:tcPr>
          <w:p w14:paraId="5E6CD715">
            <w:pPr>
              <w:spacing w:line="240" w:lineRule="auto"/>
              <w:ind w:firstLine="0" w:firstLineChars="0"/>
              <w:rPr>
                <w:sz w:val="21"/>
                <w:szCs w:val="21"/>
              </w:rPr>
            </w:pPr>
          </w:p>
        </w:tc>
        <w:tc>
          <w:tcPr>
            <w:tcW w:w="1765" w:type="dxa"/>
            <w:vAlign w:val="center"/>
          </w:tcPr>
          <w:p w14:paraId="6F0F1359">
            <w:pPr>
              <w:spacing w:line="240" w:lineRule="auto"/>
              <w:ind w:firstLine="0" w:firstLineChars="0"/>
              <w:rPr>
                <w:sz w:val="21"/>
                <w:szCs w:val="21"/>
              </w:rPr>
            </w:pPr>
          </w:p>
        </w:tc>
        <w:tc>
          <w:tcPr>
            <w:tcW w:w="2904" w:type="dxa"/>
            <w:vAlign w:val="center"/>
          </w:tcPr>
          <w:p w14:paraId="2B337EED">
            <w:pPr>
              <w:spacing w:line="240" w:lineRule="auto"/>
              <w:ind w:firstLine="0" w:firstLineChars="0"/>
              <w:rPr>
                <w:sz w:val="21"/>
                <w:szCs w:val="21"/>
              </w:rPr>
            </w:pPr>
          </w:p>
        </w:tc>
      </w:tr>
      <w:tr w14:paraId="1950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912426F">
            <w:pPr>
              <w:spacing w:line="240" w:lineRule="auto"/>
              <w:ind w:firstLine="0" w:firstLineChars="0"/>
              <w:rPr>
                <w:sz w:val="21"/>
                <w:szCs w:val="21"/>
              </w:rPr>
            </w:pPr>
          </w:p>
        </w:tc>
        <w:tc>
          <w:tcPr>
            <w:tcW w:w="1085" w:type="dxa"/>
            <w:vAlign w:val="center"/>
          </w:tcPr>
          <w:p w14:paraId="2E78EC0B">
            <w:pPr>
              <w:spacing w:line="240" w:lineRule="auto"/>
              <w:ind w:firstLine="0" w:firstLineChars="0"/>
              <w:rPr>
                <w:sz w:val="21"/>
                <w:szCs w:val="21"/>
              </w:rPr>
            </w:pPr>
          </w:p>
        </w:tc>
        <w:tc>
          <w:tcPr>
            <w:tcW w:w="1183" w:type="dxa"/>
            <w:vAlign w:val="center"/>
          </w:tcPr>
          <w:p w14:paraId="5DF4BF70">
            <w:pPr>
              <w:spacing w:line="240" w:lineRule="auto"/>
              <w:ind w:firstLine="0" w:firstLineChars="0"/>
              <w:rPr>
                <w:sz w:val="21"/>
                <w:szCs w:val="21"/>
              </w:rPr>
            </w:pPr>
          </w:p>
        </w:tc>
        <w:tc>
          <w:tcPr>
            <w:tcW w:w="1218" w:type="dxa"/>
            <w:vAlign w:val="center"/>
          </w:tcPr>
          <w:p w14:paraId="076A705F">
            <w:pPr>
              <w:spacing w:line="240" w:lineRule="auto"/>
              <w:ind w:firstLine="0" w:firstLineChars="0"/>
              <w:rPr>
                <w:sz w:val="21"/>
                <w:szCs w:val="21"/>
              </w:rPr>
            </w:pPr>
          </w:p>
        </w:tc>
        <w:tc>
          <w:tcPr>
            <w:tcW w:w="1765" w:type="dxa"/>
            <w:vAlign w:val="center"/>
          </w:tcPr>
          <w:p w14:paraId="7DBE5826">
            <w:pPr>
              <w:spacing w:line="240" w:lineRule="auto"/>
              <w:ind w:firstLine="0" w:firstLineChars="0"/>
              <w:rPr>
                <w:sz w:val="21"/>
                <w:szCs w:val="21"/>
              </w:rPr>
            </w:pPr>
          </w:p>
        </w:tc>
        <w:tc>
          <w:tcPr>
            <w:tcW w:w="2904" w:type="dxa"/>
            <w:vAlign w:val="center"/>
          </w:tcPr>
          <w:p w14:paraId="2DCD62A2">
            <w:pPr>
              <w:spacing w:line="240" w:lineRule="auto"/>
              <w:ind w:firstLine="0" w:firstLineChars="0"/>
              <w:rPr>
                <w:sz w:val="21"/>
                <w:szCs w:val="21"/>
              </w:rPr>
            </w:pPr>
          </w:p>
        </w:tc>
      </w:tr>
      <w:tr w14:paraId="4F70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00C0FEBB">
            <w:pPr>
              <w:spacing w:line="240" w:lineRule="auto"/>
              <w:ind w:firstLine="0" w:firstLineChars="0"/>
              <w:rPr>
                <w:sz w:val="21"/>
                <w:szCs w:val="21"/>
              </w:rPr>
            </w:pPr>
          </w:p>
        </w:tc>
        <w:tc>
          <w:tcPr>
            <w:tcW w:w="1085" w:type="dxa"/>
            <w:vAlign w:val="center"/>
          </w:tcPr>
          <w:p w14:paraId="5A445AD4">
            <w:pPr>
              <w:spacing w:line="240" w:lineRule="auto"/>
              <w:ind w:firstLine="0" w:firstLineChars="0"/>
              <w:rPr>
                <w:sz w:val="21"/>
                <w:szCs w:val="21"/>
              </w:rPr>
            </w:pPr>
          </w:p>
        </w:tc>
        <w:tc>
          <w:tcPr>
            <w:tcW w:w="1183" w:type="dxa"/>
            <w:vAlign w:val="center"/>
          </w:tcPr>
          <w:p w14:paraId="74C12F51">
            <w:pPr>
              <w:spacing w:line="240" w:lineRule="auto"/>
              <w:ind w:firstLine="0" w:firstLineChars="0"/>
              <w:rPr>
                <w:sz w:val="21"/>
                <w:szCs w:val="21"/>
              </w:rPr>
            </w:pPr>
          </w:p>
        </w:tc>
        <w:tc>
          <w:tcPr>
            <w:tcW w:w="1218" w:type="dxa"/>
            <w:vAlign w:val="center"/>
          </w:tcPr>
          <w:p w14:paraId="04469391">
            <w:pPr>
              <w:spacing w:line="240" w:lineRule="auto"/>
              <w:ind w:firstLine="0" w:firstLineChars="0"/>
              <w:rPr>
                <w:sz w:val="21"/>
                <w:szCs w:val="21"/>
              </w:rPr>
            </w:pPr>
          </w:p>
        </w:tc>
        <w:tc>
          <w:tcPr>
            <w:tcW w:w="1765" w:type="dxa"/>
            <w:vAlign w:val="center"/>
          </w:tcPr>
          <w:p w14:paraId="19A394CD">
            <w:pPr>
              <w:spacing w:line="240" w:lineRule="auto"/>
              <w:ind w:firstLine="0" w:firstLineChars="0"/>
              <w:rPr>
                <w:sz w:val="21"/>
                <w:szCs w:val="21"/>
              </w:rPr>
            </w:pPr>
          </w:p>
        </w:tc>
        <w:tc>
          <w:tcPr>
            <w:tcW w:w="2904" w:type="dxa"/>
            <w:vAlign w:val="center"/>
          </w:tcPr>
          <w:p w14:paraId="7B9E572E">
            <w:pPr>
              <w:spacing w:line="240" w:lineRule="auto"/>
              <w:ind w:firstLine="0" w:firstLineChars="0"/>
              <w:rPr>
                <w:sz w:val="21"/>
                <w:szCs w:val="21"/>
              </w:rPr>
            </w:pPr>
          </w:p>
        </w:tc>
      </w:tr>
      <w:tr w14:paraId="1148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7BE5A60">
            <w:pPr>
              <w:spacing w:line="240" w:lineRule="auto"/>
              <w:ind w:firstLine="0" w:firstLineChars="0"/>
              <w:rPr>
                <w:sz w:val="21"/>
                <w:szCs w:val="21"/>
              </w:rPr>
            </w:pPr>
          </w:p>
        </w:tc>
        <w:tc>
          <w:tcPr>
            <w:tcW w:w="1085" w:type="dxa"/>
            <w:vAlign w:val="center"/>
          </w:tcPr>
          <w:p w14:paraId="53BAA7A9">
            <w:pPr>
              <w:spacing w:line="240" w:lineRule="auto"/>
              <w:ind w:firstLine="0" w:firstLineChars="0"/>
              <w:rPr>
                <w:sz w:val="21"/>
                <w:szCs w:val="21"/>
              </w:rPr>
            </w:pPr>
          </w:p>
        </w:tc>
        <w:tc>
          <w:tcPr>
            <w:tcW w:w="1183" w:type="dxa"/>
            <w:vAlign w:val="center"/>
          </w:tcPr>
          <w:p w14:paraId="3905EDBB">
            <w:pPr>
              <w:spacing w:line="240" w:lineRule="auto"/>
              <w:ind w:firstLine="0" w:firstLineChars="0"/>
              <w:rPr>
                <w:sz w:val="21"/>
                <w:szCs w:val="21"/>
              </w:rPr>
            </w:pPr>
          </w:p>
        </w:tc>
        <w:tc>
          <w:tcPr>
            <w:tcW w:w="1218" w:type="dxa"/>
            <w:vAlign w:val="center"/>
          </w:tcPr>
          <w:p w14:paraId="2D6FCE55">
            <w:pPr>
              <w:spacing w:line="240" w:lineRule="auto"/>
              <w:ind w:firstLine="0" w:firstLineChars="0"/>
              <w:rPr>
                <w:sz w:val="21"/>
                <w:szCs w:val="21"/>
              </w:rPr>
            </w:pPr>
          </w:p>
        </w:tc>
        <w:tc>
          <w:tcPr>
            <w:tcW w:w="1765" w:type="dxa"/>
            <w:vAlign w:val="center"/>
          </w:tcPr>
          <w:p w14:paraId="4768F9FA">
            <w:pPr>
              <w:spacing w:line="240" w:lineRule="auto"/>
              <w:ind w:firstLine="0" w:firstLineChars="0"/>
              <w:rPr>
                <w:sz w:val="21"/>
                <w:szCs w:val="21"/>
              </w:rPr>
            </w:pPr>
          </w:p>
        </w:tc>
        <w:tc>
          <w:tcPr>
            <w:tcW w:w="2904" w:type="dxa"/>
            <w:vAlign w:val="center"/>
          </w:tcPr>
          <w:p w14:paraId="5A2BA1BD">
            <w:pPr>
              <w:spacing w:line="240" w:lineRule="auto"/>
              <w:ind w:firstLine="0" w:firstLineChars="0"/>
              <w:rPr>
                <w:sz w:val="21"/>
                <w:szCs w:val="21"/>
              </w:rPr>
            </w:pPr>
          </w:p>
        </w:tc>
      </w:tr>
      <w:tr w14:paraId="6C3D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62E42BC">
            <w:pPr>
              <w:spacing w:line="240" w:lineRule="auto"/>
              <w:ind w:firstLine="0" w:firstLineChars="0"/>
              <w:rPr>
                <w:sz w:val="21"/>
                <w:szCs w:val="21"/>
              </w:rPr>
            </w:pPr>
          </w:p>
        </w:tc>
        <w:tc>
          <w:tcPr>
            <w:tcW w:w="1085" w:type="dxa"/>
            <w:vAlign w:val="center"/>
          </w:tcPr>
          <w:p w14:paraId="4DA8EBD6">
            <w:pPr>
              <w:spacing w:line="240" w:lineRule="auto"/>
              <w:ind w:firstLine="0" w:firstLineChars="0"/>
              <w:rPr>
                <w:sz w:val="21"/>
                <w:szCs w:val="21"/>
              </w:rPr>
            </w:pPr>
          </w:p>
        </w:tc>
        <w:tc>
          <w:tcPr>
            <w:tcW w:w="1183" w:type="dxa"/>
            <w:vAlign w:val="center"/>
          </w:tcPr>
          <w:p w14:paraId="7FC67ADF">
            <w:pPr>
              <w:spacing w:line="240" w:lineRule="auto"/>
              <w:ind w:firstLine="0" w:firstLineChars="0"/>
              <w:rPr>
                <w:sz w:val="21"/>
                <w:szCs w:val="21"/>
              </w:rPr>
            </w:pPr>
          </w:p>
        </w:tc>
        <w:tc>
          <w:tcPr>
            <w:tcW w:w="1218" w:type="dxa"/>
            <w:vAlign w:val="center"/>
          </w:tcPr>
          <w:p w14:paraId="470BD111">
            <w:pPr>
              <w:spacing w:line="240" w:lineRule="auto"/>
              <w:ind w:firstLine="0" w:firstLineChars="0"/>
              <w:rPr>
                <w:sz w:val="21"/>
                <w:szCs w:val="21"/>
              </w:rPr>
            </w:pPr>
          </w:p>
        </w:tc>
        <w:tc>
          <w:tcPr>
            <w:tcW w:w="1765" w:type="dxa"/>
            <w:vAlign w:val="center"/>
          </w:tcPr>
          <w:p w14:paraId="038B2D28">
            <w:pPr>
              <w:spacing w:line="240" w:lineRule="auto"/>
              <w:ind w:firstLine="0" w:firstLineChars="0"/>
              <w:rPr>
                <w:sz w:val="21"/>
                <w:szCs w:val="21"/>
              </w:rPr>
            </w:pPr>
          </w:p>
        </w:tc>
        <w:tc>
          <w:tcPr>
            <w:tcW w:w="2904" w:type="dxa"/>
            <w:vAlign w:val="center"/>
          </w:tcPr>
          <w:p w14:paraId="3A4B5045">
            <w:pPr>
              <w:spacing w:line="240" w:lineRule="auto"/>
              <w:ind w:firstLine="0" w:firstLineChars="0"/>
              <w:rPr>
                <w:sz w:val="21"/>
                <w:szCs w:val="21"/>
              </w:rPr>
            </w:pPr>
          </w:p>
        </w:tc>
      </w:tr>
      <w:tr w14:paraId="074B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3" w:type="dxa"/>
            <w:gridSpan w:val="6"/>
            <w:vAlign w:val="center"/>
          </w:tcPr>
          <w:p w14:paraId="58FAC109">
            <w:pPr>
              <w:spacing w:line="240" w:lineRule="auto"/>
              <w:ind w:firstLine="0" w:firstLineChars="0"/>
              <w:rPr>
                <w:sz w:val="21"/>
                <w:szCs w:val="21"/>
              </w:rPr>
            </w:pPr>
            <w:r>
              <w:rPr>
                <w:sz w:val="21"/>
                <w:szCs w:val="21"/>
              </w:rPr>
              <w:t>项目负责人：</w:t>
            </w:r>
          </w:p>
        </w:tc>
      </w:tr>
      <w:tr w14:paraId="3F0E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565F42D">
            <w:pPr>
              <w:spacing w:line="240" w:lineRule="auto"/>
              <w:ind w:firstLine="0" w:firstLineChars="0"/>
              <w:rPr>
                <w:sz w:val="21"/>
                <w:szCs w:val="21"/>
              </w:rPr>
            </w:pPr>
            <w:r>
              <w:rPr>
                <w:rFonts w:hint="eastAsia"/>
                <w:sz w:val="21"/>
                <w:szCs w:val="21"/>
              </w:rPr>
              <w:t>姓名</w:t>
            </w:r>
          </w:p>
        </w:tc>
        <w:tc>
          <w:tcPr>
            <w:tcW w:w="1085" w:type="dxa"/>
            <w:vAlign w:val="center"/>
          </w:tcPr>
          <w:p w14:paraId="1A0F4F0F">
            <w:pPr>
              <w:spacing w:line="240" w:lineRule="auto"/>
              <w:ind w:firstLine="0" w:firstLineChars="0"/>
              <w:rPr>
                <w:sz w:val="21"/>
                <w:szCs w:val="21"/>
              </w:rPr>
            </w:pPr>
            <w:r>
              <w:rPr>
                <w:rFonts w:hint="eastAsia"/>
                <w:sz w:val="21"/>
                <w:szCs w:val="21"/>
              </w:rPr>
              <w:t>职务</w:t>
            </w:r>
          </w:p>
        </w:tc>
        <w:tc>
          <w:tcPr>
            <w:tcW w:w="1183" w:type="dxa"/>
            <w:vAlign w:val="center"/>
          </w:tcPr>
          <w:p w14:paraId="5BFCD881">
            <w:pPr>
              <w:spacing w:line="240" w:lineRule="auto"/>
              <w:ind w:firstLine="0" w:firstLineChars="0"/>
              <w:rPr>
                <w:sz w:val="21"/>
                <w:szCs w:val="21"/>
              </w:rPr>
            </w:pPr>
            <w:r>
              <w:rPr>
                <w:rFonts w:hint="eastAsia"/>
                <w:sz w:val="21"/>
                <w:szCs w:val="21"/>
              </w:rPr>
              <w:t>执业资格</w:t>
            </w:r>
          </w:p>
        </w:tc>
        <w:tc>
          <w:tcPr>
            <w:tcW w:w="1218" w:type="dxa"/>
            <w:vAlign w:val="center"/>
          </w:tcPr>
          <w:p w14:paraId="41CF80E2">
            <w:pPr>
              <w:spacing w:line="240" w:lineRule="auto"/>
              <w:ind w:firstLine="0" w:firstLineChars="0"/>
              <w:rPr>
                <w:sz w:val="21"/>
                <w:szCs w:val="21"/>
              </w:rPr>
            </w:pPr>
            <w:r>
              <w:rPr>
                <w:rFonts w:hint="eastAsia"/>
                <w:sz w:val="21"/>
                <w:szCs w:val="21"/>
              </w:rPr>
              <w:t>从事类似项目工作年限</w:t>
            </w:r>
          </w:p>
        </w:tc>
        <w:tc>
          <w:tcPr>
            <w:tcW w:w="1765" w:type="dxa"/>
            <w:vAlign w:val="center"/>
          </w:tcPr>
          <w:p w14:paraId="1E8EECE5">
            <w:pPr>
              <w:spacing w:line="240" w:lineRule="auto"/>
              <w:ind w:firstLine="0" w:firstLineChars="0"/>
              <w:rPr>
                <w:rFonts w:hint="default"/>
                <w:sz w:val="21"/>
                <w:szCs w:val="21"/>
                <w:lang w:val="en-US"/>
              </w:rPr>
            </w:pPr>
            <w:r>
              <w:rPr>
                <w:rFonts w:hint="eastAsia"/>
                <w:sz w:val="21"/>
                <w:szCs w:val="21"/>
                <w:lang w:val="en-US" w:eastAsia="zh-CN"/>
              </w:rPr>
              <w:t>为本公司连续提供审计服务年限（首次填0）</w:t>
            </w:r>
          </w:p>
        </w:tc>
        <w:tc>
          <w:tcPr>
            <w:tcW w:w="2904" w:type="dxa"/>
            <w:vAlign w:val="center"/>
          </w:tcPr>
          <w:p w14:paraId="5F71F61D">
            <w:pPr>
              <w:spacing w:line="240" w:lineRule="auto"/>
              <w:ind w:firstLine="0" w:firstLineChars="0"/>
              <w:rPr>
                <w:sz w:val="21"/>
                <w:szCs w:val="21"/>
              </w:rPr>
            </w:pPr>
            <w:r>
              <w:rPr>
                <w:rFonts w:hint="eastAsia"/>
                <w:sz w:val="21"/>
                <w:szCs w:val="21"/>
              </w:rPr>
              <w:t>工作业绩和经历</w:t>
            </w:r>
          </w:p>
          <w:p w14:paraId="23937A43">
            <w:pPr>
              <w:spacing w:line="240" w:lineRule="auto"/>
              <w:ind w:firstLine="0" w:firstLineChars="0"/>
              <w:rPr>
                <w:sz w:val="21"/>
                <w:szCs w:val="21"/>
              </w:rPr>
            </w:pPr>
            <w:r>
              <w:rPr>
                <w:rFonts w:hint="eastAsia"/>
                <w:sz w:val="21"/>
                <w:szCs w:val="21"/>
              </w:rPr>
              <w:t>（项目规模及个人工作范围）</w:t>
            </w:r>
          </w:p>
        </w:tc>
      </w:tr>
      <w:tr w14:paraId="3629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6C21352">
            <w:pPr>
              <w:spacing w:line="240" w:lineRule="auto"/>
              <w:ind w:firstLine="0" w:firstLineChars="0"/>
              <w:rPr>
                <w:sz w:val="21"/>
                <w:szCs w:val="21"/>
              </w:rPr>
            </w:pPr>
          </w:p>
        </w:tc>
        <w:tc>
          <w:tcPr>
            <w:tcW w:w="1085" w:type="dxa"/>
            <w:vAlign w:val="center"/>
          </w:tcPr>
          <w:p w14:paraId="0AB39A9D">
            <w:pPr>
              <w:spacing w:line="240" w:lineRule="auto"/>
              <w:ind w:firstLine="0" w:firstLineChars="0"/>
              <w:rPr>
                <w:sz w:val="21"/>
                <w:szCs w:val="21"/>
              </w:rPr>
            </w:pPr>
          </w:p>
        </w:tc>
        <w:tc>
          <w:tcPr>
            <w:tcW w:w="1183" w:type="dxa"/>
            <w:vAlign w:val="center"/>
          </w:tcPr>
          <w:p w14:paraId="0062AFC7">
            <w:pPr>
              <w:spacing w:line="240" w:lineRule="auto"/>
              <w:ind w:firstLine="0" w:firstLineChars="0"/>
              <w:rPr>
                <w:sz w:val="21"/>
                <w:szCs w:val="21"/>
              </w:rPr>
            </w:pPr>
          </w:p>
        </w:tc>
        <w:tc>
          <w:tcPr>
            <w:tcW w:w="1218" w:type="dxa"/>
            <w:vAlign w:val="center"/>
          </w:tcPr>
          <w:p w14:paraId="4E488F28">
            <w:pPr>
              <w:spacing w:line="240" w:lineRule="auto"/>
              <w:ind w:firstLine="0" w:firstLineChars="0"/>
              <w:rPr>
                <w:sz w:val="21"/>
                <w:szCs w:val="21"/>
              </w:rPr>
            </w:pPr>
          </w:p>
        </w:tc>
        <w:tc>
          <w:tcPr>
            <w:tcW w:w="1765" w:type="dxa"/>
            <w:vAlign w:val="center"/>
          </w:tcPr>
          <w:p w14:paraId="5EA6571D">
            <w:pPr>
              <w:spacing w:line="240" w:lineRule="auto"/>
              <w:ind w:firstLine="0" w:firstLineChars="0"/>
              <w:rPr>
                <w:sz w:val="21"/>
                <w:szCs w:val="21"/>
              </w:rPr>
            </w:pPr>
          </w:p>
        </w:tc>
        <w:tc>
          <w:tcPr>
            <w:tcW w:w="2904" w:type="dxa"/>
            <w:vAlign w:val="center"/>
          </w:tcPr>
          <w:p w14:paraId="5F0D7180">
            <w:pPr>
              <w:spacing w:line="240" w:lineRule="auto"/>
              <w:ind w:firstLine="0" w:firstLineChars="0"/>
              <w:rPr>
                <w:sz w:val="21"/>
                <w:szCs w:val="21"/>
              </w:rPr>
            </w:pPr>
          </w:p>
        </w:tc>
      </w:tr>
      <w:tr w14:paraId="4E37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6934C35">
            <w:pPr>
              <w:spacing w:line="240" w:lineRule="auto"/>
              <w:ind w:firstLine="0" w:firstLineChars="0"/>
              <w:rPr>
                <w:sz w:val="21"/>
                <w:szCs w:val="21"/>
              </w:rPr>
            </w:pPr>
          </w:p>
        </w:tc>
        <w:tc>
          <w:tcPr>
            <w:tcW w:w="1085" w:type="dxa"/>
            <w:vAlign w:val="center"/>
          </w:tcPr>
          <w:p w14:paraId="5121174A">
            <w:pPr>
              <w:spacing w:line="240" w:lineRule="auto"/>
              <w:ind w:firstLine="0" w:firstLineChars="0"/>
              <w:rPr>
                <w:sz w:val="21"/>
                <w:szCs w:val="21"/>
              </w:rPr>
            </w:pPr>
          </w:p>
        </w:tc>
        <w:tc>
          <w:tcPr>
            <w:tcW w:w="1183" w:type="dxa"/>
            <w:vAlign w:val="center"/>
          </w:tcPr>
          <w:p w14:paraId="31CCAB70">
            <w:pPr>
              <w:spacing w:line="240" w:lineRule="auto"/>
              <w:ind w:firstLine="0" w:firstLineChars="0"/>
              <w:rPr>
                <w:sz w:val="21"/>
                <w:szCs w:val="21"/>
              </w:rPr>
            </w:pPr>
          </w:p>
        </w:tc>
        <w:tc>
          <w:tcPr>
            <w:tcW w:w="1218" w:type="dxa"/>
            <w:vAlign w:val="center"/>
          </w:tcPr>
          <w:p w14:paraId="5B74AFC2">
            <w:pPr>
              <w:spacing w:line="240" w:lineRule="auto"/>
              <w:ind w:firstLine="0" w:firstLineChars="0"/>
              <w:rPr>
                <w:sz w:val="21"/>
                <w:szCs w:val="21"/>
              </w:rPr>
            </w:pPr>
          </w:p>
        </w:tc>
        <w:tc>
          <w:tcPr>
            <w:tcW w:w="1765" w:type="dxa"/>
            <w:vAlign w:val="center"/>
          </w:tcPr>
          <w:p w14:paraId="6D2B7099">
            <w:pPr>
              <w:spacing w:line="240" w:lineRule="auto"/>
              <w:ind w:firstLine="0" w:firstLineChars="0"/>
              <w:rPr>
                <w:sz w:val="21"/>
                <w:szCs w:val="21"/>
              </w:rPr>
            </w:pPr>
          </w:p>
        </w:tc>
        <w:tc>
          <w:tcPr>
            <w:tcW w:w="2904" w:type="dxa"/>
            <w:vAlign w:val="center"/>
          </w:tcPr>
          <w:p w14:paraId="2A3C7B9C">
            <w:pPr>
              <w:spacing w:line="240" w:lineRule="auto"/>
              <w:ind w:firstLine="0" w:firstLineChars="0"/>
              <w:rPr>
                <w:sz w:val="21"/>
                <w:szCs w:val="21"/>
              </w:rPr>
            </w:pPr>
          </w:p>
        </w:tc>
      </w:tr>
      <w:tr w14:paraId="2F25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8B34A2E">
            <w:pPr>
              <w:spacing w:line="240" w:lineRule="auto"/>
              <w:ind w:firstLine="0" w:firstLineChars="0"/>
              <w:rPr>
                <w:sz w:val="21"/>
                <w:szCs w:val="21"/>
              </w:rPr>
            </w:pPr>
          </w:p>
        </w:tc>
        <w:tc>
          <w:tcPr>
            <w:tcW w:w="1085" w:type="dxa"/>
            <w:vAlign w:val="center"/>
          </w:tcPr>
          <w:p w14:paraId="0DA27FED">
            <w:pPr>
              <w:spacing w:line="240" w:lineRule="auto"/>
              <w:ind w:firstLine="0" w:firstLineChars="0"/>
              <w:rPr>
                <w:sz w:val="21"/>
                <w:szCs w:val="21"/>
              </w:rPr>
            </w:pPr>
          </w:p>
        </w:tc>
        <w:tc>
          <w:tcPr>
            <w:tcW w:w="1183" w:type="dxa"/>
            <w:vAlign w:val="center"/>
          </w:tcPr>
          <w:p w14:paraId="0952FD49">
            <w:pPr>
              <w:spacing w:line="240" w:lineRule="auto"/>
              <w:ind w:firstLine="0" w:firstLineChars="0"/>
              <w:rPr>
                <w:sz w:val="21"/>
                <w:szCs w:val="21"/>
              </w:rPr>
            </w:pPr>
          </w:p>
        </w:tc>
        <w:tc>
          <w:tcPr>
            <w:tcW w:w="1218" w:type="dxa"/>
            <w:vAlign w:val="center"/>
          </w:tcPr>
          <w:p w14:paraId="4FCB98BC">
            <w:pPr>
              <w:spacing w:line="240" w:lineRule="auto"/>
              <w:ind w:firstLine="0" w:firstLineChars="0"/>
              <w:rPr>
                <w:sz w:val="21"/>
                <w:szCs w:val="21"/>
              </w:rPr>
            </w:pPr>
          </w:p>
        </w:tc>
        <w:tc>
          <w:tcPr>
            <w:tcW w:w="1765" w:type="dxa"/>
            <w:vAlign w:val="center"/>
          </w:tcPr>
          <w:p w14:paraId="4DD6E3F8">
            <w:pPr>
              <w:spacing w:line="240" w:lineRule="auto"/>
              <w:ind w:firstLine="0" w:firstLineChars="0"/>
              <w:rPr>
                <w:sz w:val="21"/>
                <w:szCs w:val="21"/>
              </w:rPr>
            </w:pPr>
          </w:p>
        </w:tc>
        <w:tc>
          <w:tcPr>
            <w:tcW w:w="2904" w:type="dxa"/>
            <w:vAlign w:val="center"/>
          </w:tcPr>
          <w:p w14:paraId="7B65A9AA">
            <w:pPr>
              <w:spacing w:line="240" w:lineRule="auto"/>
              <w:ind w:firstLine="0" w:firstLineChars="0"/>
              <w:rPr>
                <w:sz w:val="21"/>
                <w:szCs w:val="21"/>
              </w:rPr>
            </w:pPr>
          </w:p>
        </w:tc>
      </w:tr>
      <w:tr w14:paraId="6D47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76608F0E">
            <w:pPr>
              <w:spacing w:line="240" w:lineRule="auto"/>
              <w:ind w:firstLine="0" w:firstLineChars="0"/>
              <w:rPr>
                <w:sz w:val="21"/>
                <w:szCs w:val="21"/>
              </w:rPr>
            </w:pPr>
          </w:p>
        </w:tc>
        <w:tc>
          <w:tcPr>
            <w:tcW w:w="1085" w:type="dxa"/>
            <w:vAlign w:val="center"/>
          </w:tcPr>
          <w:p w14:paraId="098D52FF">
            <w:pPr>
              <w:spacing w:line="240" w:lineRule="auto"/>
              <w:ind w:firstLine="0" w:firstLineChars="0"/>
              <w:rPr>
                <w:sz w:val="21"/>
                <w:szCs w:val="21"/>
              </w:rPr>
            </w:pPr>
          </w:p>
        </w:tc>
        <w:tc>
          <w:tcPr>
            <w:tcW w:w="1183" w:type="dxa"/>
            <w:vAlign w:val="center"/>
          </w:tcPr>
          <w:p w14:paraId="7025B118">
            <w:pPr>
              <w:spacing w:line="240" w:lineRule="auto"/>
              <w:ind w:firstLine="0" w:firstLineChars="0"/>
              <w:rPr>
                <w:sz w:val="21"/>
                <w:szCs w:val="21"/>
              </w:rPr>
            </w:pPr>
          </w:p>
        </w:tc>
        <w:tc>
          <w:tcPr>
            <w:tcW w:w="1218" w:type="dxa"/>
            <w:vAlign w:val="center"/>
          </w:tcPr>
          <w:p w14:paraId="4D54DE21">
            <w:pPr>
              <w:spacing w:line="240" w:lineRule="auto"/>
              <w:ind w:firstLine="0" w:firstLineChars="0"/>
              <w:rPr>
                <w:sz w:val="21"/>
                <w:szCs w:val="21"/>
              </w:rPr>
            </w:pPr>
          </w:p>
        </w:tc>
        <w:tc>
          <w:tcPr>
            <w:tcW w:w="1765" w:type="dxa"/>
            <w:vAlign w:val="center"/>
          </w:tcPr>
          <w:p w14:paraId="3D3375F3">
            <w:pPr>
              <w:spacing w:line="240" w:lineRule="auto"/>
              <w:ind w:firstLine="0" w:firstLineChars="0"/>
              <w:rPr>
                <w:sz w:val="21"/>
                <w:szCs w:val="21"/>
              </w:rPr>
            </w:pPr>
          </w:p>
        </w:tc>
        <w:tc>
          <w:tcPr>
            <w:tcW w:w="2904" w:type="dxa"/>
            <w:vAlign w:val="center"/>
          </w:tcPr>
          <w:p w14:paraId="21B282A1">
            <w:pPr>
              <w:spacing w:line="240" w:lineRule="auto"/>
              <w:ind w:firstLine="0" w:firstLineChars="0"/>
              <w:rPr>
                <w:sz w:val="21"/>
                <w:szCs w:val="21"/>
              </w:rPr>
            </w:pPr>
          </w:p>
        </w:tc>
      </w:tr>
      <w:tr w14:paraId="0D63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372FAFC">
            <w:pPr>
              <w:spacing w:line="240" w:lineRule="auto"/>
              <w:ind w:firstLine="0" w:firstLineChars="0"/>
              <w:rPr>
                <w:sz w:val="21"/>
                <w:szCs w:val="21"/>
              </w:rPr>
            </w:pPr>
          </w:p>
        </w:tc>
        <w:tc>
          <w:tcPr>
            <w:tcW w:w="1085" w:type="dxa"/>
            <w:vAlign w:val="center"/>
          </w:tcPr>
          <w:p w14:paraId="4736E0F6">
            <w:pPr>
              <w:spacing w:line="240" w:lineRule="auto"/>
              <w:ind w:firstLine="0" w:firstLineChars="0"/>
              <w:rPr>
                <w:sz w:val="21"/>
                <w:szCs w:val="21"/>
              </w:rPr>
            </w:pPr>
          </w:p>
        </w:tc>
        <w:tc>
          <w:tcPr>
            <w:tcW w:w="1183" w:type="dxa"/>
            <w:vAlign w:val="center"/>
          </w:tcPr>
          <w:p w14:paraId="5FDB0BE3">
            <w:pPr>
              <w:spacing w:line="240" w:lineRule="auto"/>
              <w:ind w:firstLine="0" w:firstLineChars="0"/>
              <w:rPr>
                <w:sz w:val="21"/>
                <w:szCs w:val="21"/>
              </w:rPr>
            </w:pPr>
          </w:p>
        </w:tc>
        <w:tc>
          <w:tcPr>
            <w:tcW w:w="1218" w:type="dxa"/>
            <w:vAlign w:val="center"/>
          </w:tcPr>
          <w:p w14:paraId="00A0EFB2">
            <w:pPr>
              <w:spacing w:line="240" w:lineRule="auto"/>
              <w:ind w:firstLine="0" w:firstLineChars="0"/>
              <w:rPr>
                <w:sz w:val="21"/>
                <w:szCs w:val="21"/>
              </w:rPr>
            </w:pPr>
          </w:p>
        </w:tc>
        <w:tc>
          <w:tcPr>
            <w:tcW w:w="1765" w:type="dxa"/>
            <w:vAlign w:val="center"/>
          </w:tcPr>
          <w:p w14:paraId="037C42B6">
            <w:pPr>
              <w:spacing w:line="240" w:lineRule="auto"/>
              <w:ind w:firstLine="0" w:firstLineChars="0"/>
              <w:rPr>
                <w:sz w:val="21"/>
                <w:szCs w:val="21"/>
              </w:rPr>
            </w:pPr>
          </w:p>
        </w:tc>
        <w:tc>
          <w:tcPr>
            <w:tcW w:w="2904" w:type="dxa"/>
            <w:vAlign w:val="center"/>
          </w:tcPr>
          <w:p w14:paraId="504271F3">
            <w:pPr>
              <w:spacing w:line="240" w:lineRule="auto"/>
              <w:ind w:firstLine="0" w:firstLineChars="0"/>
              <w:rPr>
                <w:sz w:val="21"/>
                <w:szCs w:val="21"/>
              </w:rPr>
            </w:pPr>
          </w:p>
        </w:tc>
      </w:tr>
    </w:tbl>
    <w:p w14:paraId="473E7D9C"/>
    <w:p w14:paraId="507DF7D1">
      <w:r>
        <w:rPr>
          <w:rFonts w:hint="eastAsia"/>
        </w:rPr>
        <w:t>注：</w:t>
      </w:r>
      <w:r>
        <w:rPr>
          <w:rFonts w:hint="eastAsia"/>
          <w:lang w:val="en-US" w:eastAsia="zh-CN"/>
        </w:rPr>
        <w:t>需</w:t>
      </w:r>
      <w:r>
        <w:t>提供拟用于本项目的主要人员的执业资格证</w:t>
      </w:r>
      <w:r>
        <w:rPr>
          <w:rFonts w:hint="eastAsia"/>
        </w:rPr>
        <w:t>书</w:t>
      </w:r>
      <w:r>
        <w:rPr>
          <w:rFonts w:hint="eastAsia"/>
          <w:lang w:eastAsia="zh-CN"/>
        </w:rPr>
        <w:t>，</w:t>
      </w:r>
      <w:r>
        <w:rPr>
          <w:rFonts w:hint="eastAsia"/>
          <w:lang w:val="en-US" w:eastAsia="zh-CN"/>
        </w:rPr>
        <w:t>可提供其他能辅证主要人员专业水平、工作能力及经历的相关材料</w:t>
      </w:r>
      <w:r>
        <w:rPr>
          <w:rFonts w:hint="eastAsia"/>
        </w:rPr>
        <w:t>。</w:t>
      </w:r>
    </w:p>
    <w:p w14:paraId="3BAE7863">
      <w:r>
        <w:br w:type="page"/>
      </w:r>
    </w:p>
    <w:p w14:paraId="6FFB55F7">
      <w:pPr>
        <w:pStyle w:val="3"/>
        <w:ind w:firstLine="560"/>
      </w:pPr>
      <w:bookmarkStart w:id="59" w:name="_Toc24899"/>
      <w:r>
        <w:rPr>
          <w:rFonts w:hint="eastAsia"/>
        </w:rPr>
        <w:t>附件</w:t>
      </w:r>
      <w:r>
        <w:rPr>
          <w:rFonts w:hint="eastAsia"/>
          <w:lang w:val="en-US" w:eastAsia="zh-CN"/>
        </w:rPr>
        <w:t>8</w:t>
      </w:r>
      <w:r>
        <w:t xml:space="preserve"> </w:t>
      </w:r>
      <w:r>
        <w:rPr>
          <w:rFonts w:hint="eastAsia"/>
        </w:rPr>
        <w:t>质量管理</w:t>
      </w:r>
      <w:r>
        <w:t>水平</w:t>
      </w:r>
      <w:bookmarkEnd w:id="59"/>
    </w:p>
    <w:p w14:paraId="0D9851C5">
      <w:pPr>
        <w:bidi w:val="0"/>
        <w:rPr>
          <w:b/>
        </w:rPr>
      </w:pPr>
      <w:bookmarkStart w:id="60" w:name="_Toc166662585"/>
      <w:r>
        <w:rPr>
          <w:rFonts w:hint="eastAsia"/>
        </w:rPr>
        <w:t>（提供质量管理制度及实施情况，包括但不限于项目咨询、意见分歧解决、项目质量复核、项目质量检查、质量管理缺陷识别与整改等</w:t>
      </w:r>
      <w:r>
        <w:t>5方面的政策与程序</w:t>
      </w:r>
      <w:r>
        <w:rPr>
          <w:rFonts w:hint="eastAsia"/>
        </w:rPr>
        <w:t>）</w:t>
      </w:r>
      <w:bookmarkEnd w:id="60"/>
    </w:p>
    <w:p w14:paraId="31CAE7A3">
      <w:r>
        <w:br w:type="page"/>
      </w:r>
    </w:p>
    <w:p w14:paraId="53436691">
      <w:pPr>
        <w:pStyle w:val="3"/>
        <w:ind w:firstLine="560"/>
        <w:rPr>
          <w:b/>
        </w:rPr>
      </w:pPr>
      <w:bookmarkStart w:id="61" w:name="_Toc18235"/>
      <w:r>
        <w:rPr>
          <w:rFonts w:hint="eastAsia"/>
        </w:rPr>
        <w:t>附件</w:t>
      </w:r>
      <w:r>
        <w:rPr>
          <w:rFonts w:hint="eastAsia"/>
          <w:lang w:val="en-US" w:eastAsia="zh-CN"/>
        </w:rPr>
        <w:t>9</w:t>
      </w:r>
      <w:r>
        <w:t xml:space="preserve"> </w:t>
      </w:r>
      <w:r>
        <w:rPr>
          <w:rFonts w:hint="eastAsia"/>
        </w:rPr>
        <w:t>本项目工作</w:t>
      </w:r>
      <w:r>
        <w:t>方案</w:t>
      </w:r>
      <w:bookmarkEnd w:id="61"/>
    </w:p>
    <w:p w14:paraId="6C4E5B38">
      <w:r>
        <w:rPr>
          <w:rFonts w:hint="eastAsia"/>
        </w:rPr>
        <w:t>（须加盖单位公章）</w:t>
      </w:r>
    </w:p>
    <w:p w14:paraId="3E1C90D4">
      <w:r>
        <w:br w:type="page"/>
      </w:r>
    </w:p>
    <w:p w14:paraId="658699B2">
      <w:pPr>
        <w:pStyle w:val="3"/>
        <w:ind w:firstLine="560"/>
        <w:rPr>
          <w:b/>
        </w:rPr>
      </w:pPr>
      <w:bookmarkStart w:id="62" w:name="_Toc20143"/>
      <w:r>
        <w:rPr>
          <w:rFonts w:hint="eastAsia"/>
        </w:rPr>
        <w:t>附件</w:t>
      </w:r>
      <w:r>
        <w:rPr>
          <w:rFonts w:hint="eastAsia"/>
          <w:lang w:val="en-US" w:eastAsia="zh-CN"/>
        </w:rPr>
        <w:t>10</w:t>
      </w:r>
      <w:r>
        <w:t xml:space="preserve"> </w:t>
      </w:r>
      <w:r>
        <w:rPr>
          <w:rFonts w:hint="eastAsia"/>
        </w:rPr>
        <w:t>信息安全管理</w:t>
      </w:r>
      <w:r>
        <w:t>情况等证明文件</w:t>
      </w:r>
      <w:bookmarkEnd w:id="62"/>
    </w:p>
    <w:p w14:paraId="361A0503">
      <w:r>
        <w:rPr>
          <w:rFonts w:hint="eastAsia"/>
        </w:rPr>
        <w:t>（须加盖单位公章）</w:t>
      </w:r>
    </w:p>
    <w:p w14:paraId="378F767F">
      <w:r>
        <w:br w:type="page"/>
      </w:r>
    </w:p>
    <w:p w14:paraId="4EB16088">
      <w:pPr>
        <w:pStyle w:val="3"/>
        <w:ind w:firstLine="560"/>
        <w:rPr>
          <w:b/>
        </w:rPr>
      </w:pPr>
      <w:bookmarkStart w:id="63" w:name="_Toc23788"/>
      <w:r>
        <w:rPr>
          <w:rFonts w:hint="eastAsia"/>
        </w:rPr>
        <w:t>附件</w:t>
      </w:r>
      <w:r>
        <w:t>1</w:t>
      </w:r>
      <w:r>
        <w:rPr>
          <w:rFonts w:hint="eastAsia"/>
          <w:lang w:val="en-US" w:eastAsia="zh-CN"/>
        </w:rPr>
        <w:t>1</w:t>
      </w:r>
      <w:r>
        <w:t xml:space="preserve"> </w:t>
      </w:r>
      <w:r>
        <w:rPr>
          <w:rFonts w:hint="eastAsia"/>
        </w:rPr>
        <w:t>风险承担能力水平，按照相关要求提供计提风险金或缴纳职业保险金的证明材料。</w:t>
      </w:r>
      <w:bookmarkEnd w:id="63"/>
    </w:p>
    <w:p w14:paraId="592A17CD">
      <w:r>
        <w:rPr>
          <w:rFonts w:hint="eastAsia"/>
        </w:rPr>
        <w:t>（须加盖单位公章）</w:t>
      </w:r>
    </w:p>
    <w:p w14:paraId="5A2436C9"/>
    <w:p w14:paraId="1C41BA9D"/>
    <w:p w14:paraId="2B7333A3"/>
    <w:p w14:paraId="71714FBC"/>
    <w:p w14:paraId="53DCBF57"/>
    <w:p w14:paraId="251894AD"/>
    <w:p w14:paraId="729E4629"/>
    <w:p w14:paraId="25094536">
      <w:r>
        <w:br w:type="page"/>
      </w:r>
    </w:p>
    <w:p w14:paraId="4EDA3CCD">
      <w:pPr>
        <w:pStyle w:val="3"/>
      </w:pPr>
      <w:bookmarkStart w:id="64" w:name="_Toc4693"/>
      <w:r>
        <w:rPr>
          <w:rFonts w:hint="eastAsia"/>
          <w:highlight w:val="none"/>
        </w:rPr>
        <w:t>附件</w:t>
      </w:r>
      <w:r>
        <w:rPr>
          <w:highlight w:val="none"/>
        </w:rPr>
        <w:t>1</w:t>
      </w:r>
      <w:r>
        <w:rPr>
          <w:rFonts w:hint="eastAsia"/>
          <w:highlight w:val="none"/>
          <w:lang w:val="en-US" w:eastAsia="zh-CN"/>
        </w:rPr>
        <w:t>2</w:t>
      </w:r>
      <w:r>
        <w:rPr>
          <w:highlight w:val="none"/>
        </w:rPr>
        <w:t xml:space="preserve"> </w:t>
      </w:r>
      <w:r>
        <w:rPr>
          <w:rFonts w:hint="eastAsia"/>
          <w:lang w:val="en-US" w:eastAsia="zh-CN"/>
        </w:rPr>
        <w:t>其他资料：</w:t>
      </w:r>
      <w:r>
        <w:t>有利于本项目进行的其他相关资料及建议</w:t>
      </w:r>
      <w:r>
        <w:rPr>
          <w:rFonts w:hint="eastAsia"/>
          <w:lang w:val="en-US" w:eastAsia="zh-CN"/>
        </w:rPr>
        <w:t>等（如有，可选）</w:t>
      </w:r>
      <w:bookmarkEnd w:id="64"/>
    </w:p>
    <w:p w14:paraId="27591BE5">
      <w:r>
        <w:t xml:space="preserve"> </w:t>
      </w:r>
      <w:r>
        <w:rPr>
          <w:rFonts w:hint="eastAsia"/>
        </w:rPr>
        <w:t>投标人根据招标书服务需求，提供有利于本项目进行的资质（文件复印件加盖公章）、其他相关资料及建议。</w:t>
      </w:r>
    </w:p>
    <w:p w14:paraId="72E87834">
      <w:r>
        <w:rPr>
          <w:rFonts w:hint="eastAsia"/>
        </w:rPr>
        <w:t>其他资料中</w:t>
      </w:r>
      <w:r>
        <w:rPr>
          <w:rFonts w:hint="eastAsia"/>
          <w:lang w:val="en-US" w:eastAsia="zh-CN"/>
        </w:rPr>
        <w:t>可</w:t>
      </w:r>
      <w:r>
        <w:rPr>
          <w:rFonts w:hint="eastAsia"/>
        </w:rPr>
        <w:t>包括但不限于以下内容：如</w:t>
      </w:r>
      <w:r>
        <w:t>1、拟参与本项目审计团队目前在审的其</w:t>
      </w:r>
      <w:r>
        <w:rPr>
          <w:rFonts w:hint="eastAsia"/>
        </w:rPr>
        <w:t>他上市公司情况（只需提供简要信息）；</w:t>
      </w:r>
      <w:r>
        <w:t>2、对公司提出的关于“公司重大事项处理</w:t>
      </w:r>
      <w:r>
        <w:rPr>
          <w:rFonts w:hint="eastAsia"/>
        </w:rPr>
        <w:t>回复的及时性及准确性”内容的简要回复。</w:t>
      </w:r>
    </w:p>
    <w:p w14:paraId="457617E5">
      <w:pPr>
        <w:rPr>
          <w:rFonts w:hint="eastAsia" w:eastAsia="宋体"/>
          <w:lang w:val="en-US" w:eastAsia="zh-CN"/>
        </w:rPr>
      </w:pPr>
      <w:r>
        <w:t xml:space="preserve"> </w:t>
      </w:r>
      <w:r>
        <w:rPr>
          <w:rFonts w:hint="eastAsia"/>
          <w:lang w:val="en-US" w:eastAsia="zh-CN"/>
        </w:rPr>
        <w:tab/>
      </w:r>
    </w:p>
    <w:p w14:paraId="73894CAD">
      <w:r>
        <w:rPr>
          <w:rFonts w:hint="eastAsia"/>
        </w:rPr>
        <w:t>（须加盖单位公章）</w:t>
      </w:r>
    </w:p>
    <w:p w14:paraId="59824598">
      <w:pPr>
        <w:rPr>
          <w:rFonts w:hint="eastAsia"/>
          <w:highlight w:val="yellow"/>
        </w:rPr>
      </w:pPr>
    </w:p>
    <w:p w14:paraId="743F3885">
      <w:pPr>
        <w:rPr>
          <w:rFonts w:hint="eastAsia"/>
          <w:highlight w:val="yellow"/>
        </w:rPr>
      </w:pPr>
      <w:r>
        <w:rPr>
          <w:rFonts w:hint="eastAsia"/>
          <w:highlight w:val="yellow"/>
        </w:rPr>
        <w:br w:type="page"/>
      </w:r>
    </w:p>
    <w:p w14:paraId="1AB3A269">
      <w:pPr>
        <w:pStyle w:val="2"/>
        <w:ind w:firstLine="0" w:firstLineChars="0"/>
      </w:pPr>
      <w:bookmarkStart w:id="65" w:name="_Toc10220"/>
      <w:r>
        <w:rPr>
          <w:rFonts w:hint="eastAsia"/>
        </w:rPr>
        <w:t>第五部分</w:t>
      </w:r>
      <w:r>
        <w:t xml:space="preserve"> 评分方法和标准</w:t>
      </w:r>
      <w:bookmarkEnd w:id="65"/>
    </w:p>
    <w:p w14:paraId="13AF02B2">
      <w:r>
        <w:t xml:space="preserve">1 评审程序： </w:t>
      </w:r>
    </w:p>
    <w:p w14:paraId="18BF8A9B">
      <w:r>
        <w:t>1.1 符合性检查：对投标书合格性的审查，它所涉及到的主要文件和内容有：“投</w:t>
      </w:r>
      <w:r>
        <w:rPr>
          <w:rFonts w:hint="eastAsia"/>
        </w:rPr>
        <w:t>标书”的内容和签章的合格性；</w:t>
      </w:r>
      <w:r>
        <w:t xml:space="preserve"> “营业执照”、“资格证明文件”的合格</w:t>
      </w:r>
      <w:r>
        <w:rPr>
          <w:rFonts w:hint="eastAsia"/>
        </w:rPr>
        <w:t>性；</w:t>
      </w:r>
      <w:r>
        <w:rPr>
          <w:rFonts w:hint="eastAsia"/>
          <w:lang w:eastAsia="zh-CN"/>
        </w:rPr>
        <w:t>执行事务合伙人/单位负责人</w:t>
      </w:r>
      <w:r>
        <w:rPr>
          <w:rFonts w:hint="eastAsia"/>
        </w:rPr>
        <w:t>或投标人授权代表的合法性；投标书的完整性等内容。如发现下列情况之一的，其投标将被拒绝：</w:t>
      </w:r>
    </w:p>
    <w:p w14:paraId="2FDFCA72">
      <w:r>
        <w:t>1.1.1 投标人的投标书或资格证明文件未提供或不符合招标书要求的；</w:t>
      </w:r>
    </w:p>
    <w:p w14:paraId="61EB6BEA">
      <w:r>
        <w:t>1.1.2 投标书无</w:t>
      </w:r>
      <w:r>
        <w:rPr>
          <w:rFonts w:hint="eastAsia"/>
          <w:lang w:eastAsia="zh-CN"/>
        </w:rPr>
        <w:t>执行事务合伙人/单位负责人</w:t>
      </w:r>
      <w:r>
        <w:t>签字，或签字人无</w:t>
      </w:r>
      <w:r>
        <w:rPr>
          <w:rFonts w:hint="eastAsia"/>
          <w:lang w:eastAsia="zh-CN"/>
        </w:rPr>
        <w:t>执行事务合伙人/单位负责人</w:t>
      </w:r>
      <w:r>
        <w:t>有效委托书的；</w:t>
      </w:r>
    </w:p>
    <w:p w14:paraId="04322631">
      <w:r>
        <w:t>1.1.3 投标有效期不足的；</w:t>
      </w:r>
    </w:p>
    <w:p w14:paraId="5908FD14">
      <w:r>
        <w:t>1.1.4 未按招标书要求提供</w:t>
      </w:r>
    </w:p>
    <w:p w14:paraId="603BA065">
      <w:r>
        <w:rPr>
          <w:rFonts w:hint="eastAsia"/>
        </w:rPr>
        <w:t>附件</w:t>
      </w:r>
      <w:r>
        <w:t xml:space="preserve"> 1 投标申请函 </w:t>
      </w:r>
    </w:p>
    <w:p w14:paraId="25BE1C3B">
      <w:r>
        <w:rPr>
          <w:rFonts w:hint="eastAsia"/>
        </w:rPr>
        <w:t>附件</w:t>
      </w:r>
      <w:r>
        <w:t xml:space="preserve"> 2 投标一览表 </w:t>
      </w:r>
    </w:p>
    <w:p w14:paraId="51326D18">
      <w:pPr>
        <w:rPr>
          <w:rFonts w:hint="default" w:eastAsia="宋体"/>
          <w:lang w:val="en-US" w:eastAsia="zh-CN"/>
        </w:rPr>
      </w:pPr>
      <w:r>
        <w:rPr>
          <w:rFonts w:hint="eastAsia"/>
          <w:lang w:val="en-US" w:eastAsia="zh-CN"/>
        </w:rPr>
        <w:t>附件 3 合规承诺书</w:t>
      </w:r>
    </w:p>
    <w:p w14:paraId="7DCEC5CB">
      <w:r>
        <w:rPr>
          <w:rFonts w:hint="eastAsia"/>
        </w:rPr>
        <w:t>附件</w:t>
      </w:r>
      <w:r>
        <w:t xml:space="preserve"> </w:t>
      </w:r>
      <w:r>
        <w:rPr>
          <w:rFonts w:hint="eastAsia"/>
          <w:lang w:val="en-US" w:eastAsia="zh-CN"/>
        </w:rPr>
        <w:t>4</w:t>
      </w:r>
      <w:r>
        <w:t xml:space="preserve"> 资格证明文件 </w:t>
      </w:r>
    </w:p>
    <w:p w14:paraId="0EDDFE9E">
      <w:r>
        <w:rPr>
          <w:rFonts w:hint="eastAsia"/>
        </w:rPr>
        <w:t>包括：</w:t>
      </w:r>
      <w:r>
        <w:t xml:space="preserve"> </w:t>
      </w:r>
    </w:p>
    <w:p w14:paraId="3D268A4D">
      <w:r>
        <w:rPr>
          <w:rFonts w:hint="eastAsia"/>
        </w:rPr>
        <w:t>附件</w:t>
      </w:r>
      <w:r>
        <w:t xml:space="preserve"> </w:t>
      </w:r>
      <w:r>
        <w:rPr>
          <w:rFonts w:hint="eastAsia"/>
          <w:lang w:val="en-US" w:eastAsia="zh-CN"/>
        </w:rPr>
        <w:t>4</w:t>
      </w:r>
      <w:r>
        <w:t xml:space="preserve">.1 </w:t>
      </w:r>
      <w:r>
        <w:rPr>
          <w:rFonts w:hint="eastAsia"/>
          <w:lang w:eastAsia="zh-CN"/>
        </w:rPr>
        <w:t>执行事务合伙人/单位负责人</w:t>
      </w:r>
      <w:r>
        <w:t>授权书</w:t>
      </w:r>
    </w:p>
    <w:p w14:paraId="6CB2CD7D">
      <w:r>
        <w:rPr>
          <w:rFonts w:hint="eastAsia"/>
        </w:rPr>
        <w:t>附件</w:t>
      </w:r>
      <w:r>
        <w:t xml:space="preserve"> </w:t>
      </w:r>
      <w:r>
        <w:rPr>
          <w:rFonts w:hint="eastAsia"/>
          <w:lang w:val="en-US" w:eastAsia="zh-CN"/>
        </w:rPr>
        <w:t>4</w:t>
      </w:r>
      <w:r>
        <w:t>.2 营业执照</w:t>
      </w:r>
      <w:r>
        <w:rPr>
          <w:rFonts w:hint="eastAsia"/>
          <w:lang w:eastAsia="zh-CN"/>
        </w:rPr>
        <w:t>、</w:t>
      </w:r>
      <w:r>
        <w:t>会计师事务所执业资格证书、证券期货相关业务资格证明文件（复</w:t>
      </w:r>
      <w:r>
        <w:rPr>
          <w:rFonts w:hint="eastAsia"/>
        </w:rPr>
        <w:t>印件加盖单位公章）</w:t>
      </w:r>
    </w:p>
    <w:p w14:paraId="707480B8">
      <w:pPr>
        <w:rPr>
          <w:sz w:val="24"/>
          <w:szCs w:val="24"/>
        </w:rPr>
      </w:pPr>
      <w:r>
        <w:rPr>
          <w:rFonts w:hint="eastAsia"/>
        </w:rPr>
        <w:t>附件</w:t>
      </w:r>
      <w:r>
        <w:t xml:space="preserve"> </w:t>
      </w:r>
      <w:r>
        <w:rPr>
          <w:rFonts w:hint="eastAsia"/>
          <w:lang w:val="en-US" w:eastAsia="zh-CN"/>
        </w:rPr>
        <w:t>4</w:t>
      </w:r>
      <w:r>
        <w:t>.</w:t>
      </w:r>
      <w:r>
        <w:rPr>
          <w:rFonts w:hint="eastAsia"/>
          <w:lang w:val="en-US" w:eastAsia="zh-CN"/>
        </w:rPr>
        <w:t xml:space="preserve">3 </w:t>
      </w:r>
      <w:r>
        <w:rPr>
          <w:rFonts w:hint="eastAsia"/>
          <w:sz w:val="24"/>
          <w:szCs w:val="24"/>
        </w:rPr>
        <w:t>最近三年内受到的监管部门处罚情况（提供中注协网站查询截图</w:t>
      </w:r>
      <w:r>
        <w:rPr>
          <w:sz w:val="24"/>
          <w:szCs w:val="24"/>
        </w:rPr>
        <w:t>）。</w:t>
      </w:r>
    </w:p>
    <w:p w14:paraId="35DE6F94">
      <w:r>
        <w:t>1.1.5 提供虚假文件或故意隐瞒不良业绩的。</w:t>
      </w:r>
    </w:p>
    <w:p w14:paraId="1403AC59">
      <w:r>
        <w:t>1.1.6 投标书符合招标书中规定废除投标的其它商务条款。</w:t>
      </w:r>
    </w:p>
    <w:p w14:paraId="11A2D096">
      <w:r>
        <w:rPr>
          <w:rFonts w:hint="eastAsia"/>
        </w:rPr>
        <w:t>通过符合性检查的投标进入下一步评审。</w:t>
      </w:r>
    </w:p>
    <w:p w14:paraId="4B46FE18">
      <w:r>
        <w:t>1.2 综合评审：评标委员会对通过符合性检查的投标人的基本情况、相关业绩、</w:t>
      </w:r>
      <w:r>
        <w:rPr>
          <w:rFonts w:hint="eastAsia"/>
        </w:rPr>
        <w:t>财务状况、投标人人员情况、服务方案投标报价以及其他有利于本项目实施的其他资格和建议等进行综合打分。</w:t>
      </w:r>
    </w:p>
    <w:p w14:paraId="783277BF">
      <w:r>
        <w:t>1.3 评选：经过综合评审合格的投标人，最终得分由高到低排序在前的投标人</w:t>
      </w:r>
      <w:r>
        <w:rPr>
          <w:rFonts w:hint="eastAsia"/>
        </w:rPr>
        <w:t>中标。</w:t>
      </w:r>
      <w:r>
        <w:t xml:space="preserve"> </w:t>
      </w:r>
    </w:p>
    <w:p w14:paraId="3D86CBA9">
      <w:r>
        <w:t xml:space="preserve">1.4 中标评选方法 </w:t>
      </w:r>
    </w:p>
    <w:p w14:paraId="51A1D2D1">
      <w:r>
        <w:t xml:space="preserve">1) 本次招标采用综合评估法 </w:t>
      </w:r>
    </w:p>
    <w:p w14:paraId="32FC965D">
      <w:r>
        <w:t xml:space="preserve">2) 计分方式： </w:t>
      </w:r>
    </w:p>
    <w:tbl>
      <w:tblPr>
        <w:tblStyle w:val="23"/>
        <w:tblW w:w="57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997"/>
        <w:gridCol w:w="755"/>
        <w:gridCol w:w="6561"/>
        <w:gridCol w:w="730"/>
      </w:tblGrid>
      <w:tr w14:paraId="70A8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shd w:val="clear" w:color="auto" w:fill="auto"/>
            <w:vAlign w:val="center"/>
          </w:tcPr>
          <w:p w14:paraId="0D842F72">
            <w:pPr>
              <w:spacing w:line="240" w:lineRule="auto"/>
              <w:ind w:firstLine="0" w:firstLineChars="0"/>
              <w:rPr>
                <w:sz w:val="18"/>
              </w:rPr>
            </w:pPr>
            <w:r>
              <w:rPr>
                <w:sz w:val="18"/>
              </w:rPr>
              <w:t>序号</w:t>
            </w:r>
          </w:p>
        </w:tc>
        <w:tc>
          <w:tcPr>
            <w:tcW w:w="511" w:type="pct"/>
            <w:shd w:val="clear" w:color="auto" w:fill="auto"/>
            <w:vAlign w:val="center"/>
          </w:tcPr>
          <w:p w14:paraId="4F906FBF">
            <w:pPr>
              <w:spacing w:line="240" w:lineRule="auto"/>
              <w:ind w:firstLine="0" w:firstLineChars="0"/>
              <w:rPr>
                <w:sz w:val="18"/>
              </w:rPr>
            </w:pPr>
            <w:r>
              <w:rPr>
                <w:sz w:val="18"/>
              </w:rPr>
              <w:t>评标内容</w:t>
            </w:r>
          </w:p>
        </w:tc>
        <w:tc>
          <w:tcPr>
            <w:tcW w:w="387" w:type="pct"/>
            <w:shd w:val="clear" w:color="auto" w:fill="auto"/>
            <w:vAlign w:val="center"/>
          </w:tcPr>
          <w:p w14:paraId="79FCD3EF">
            <w:pPr>
              <w:spacing w:line="240" w:lineRule="auto"/>
              <w:ind w:firstLine="0" w:firstLineChars="0"/>
              <w:rPr>
                <w:sz w:val="18"/>
              </w:rPr>
            </w:pPr>
            <w:r>
              <w:rPr>
                <w:sz w:val="18"/>
              </w:rPr>
              <w:t>总分</w:t>
            </w:r>
          </w:p>
        </w:tc>
        <w:tc>
          <w:tcPr>
            <w:tcW w:w="3361" w:type="pct"/>
            <w:shd w:val="clear" w:color="auto" w:fill="auto"/>
            <w:vAlign w:val="center"/>
          </w:tcPr>
          <w:p w14:paraId="2B595104">
            <w:pPr>
              <w:spacing w:line="240" w:lineRule="auto"/>
              <w:ind w:firstLine="0" w:firstLineChars="0"/>
              <w:rPr>
                <w:sz w:val="18"/>
              </w:rPr>
            </w:pPr>
            <w:r>
              <w:rPr>
                <w:sz w:val="18"/>
              </w:rPr>
              <w:t>具体评标评分标准</w:t>
            </w:r>
          </w:p>
        </w:tc>
        <w:tc>
          <w:tcPr>
            <w:tcW w:w="374" w:type="pct"/>
            <w:shd w:val="clear" w:color="auto" w:fill="auto"/>
            <w:vAlign w:val="center"/>
          </w:tcPr>
          <w:p w14:paraId="7913CD41">
            <w:pPr>
              <w:spacing w:line="240" w:lineRule="auto"/>
              <w:ind w:firstLine="0" w:firstLineChars="0"/>
              <w:rPr>
                <w:sz w:val="18"/>
              </w:rPr>
            </w:pPr>
            <w:r>
              <w:rPr>
                <w:sz w:val="18"/>
              </w:rPr>
              <w:t>得分</w:t>
            </w:r>
          </w:p>
        </w:tc>
      </w:tr>
      <w:tr w14:paraId="4E88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shd w:val="clear" w:color="auto" w:fill="auto"/>
            <w:vAlign w:val="center"/>
          </w:tcPr>
          <w:p w14:paraId="011992A7">
            <w:pPr>
              <w:spacing w:line="240" w:lineRule="auto"/>
              <w:ind w:firstLine="0" w:firstLineChars="0"/>
              <w:jc w:val="center"/>
              <w:rPr>
                <w:sz w:val="18"/>
              </w:rPr>
            </w:pPr>
            <w:r>
              <w:rPr>
                <w:sz w:val="18"/>
              </w:rPr>
              <w:t>一</w:t>
            </w:r>
          </w:p>
        </w:tc>
        <w:tc>
          <w:tcPr>
            <w:tcW w:w="511" w:type="pct"/>
            <w:shd w:val="clear" w:color="auto" w:fill="auto"/>
            <w:vAlign w:val="center"/>
          </w:tcPr>
          <w:p w14:paraId="09079D90">
            <w:pPr>
              <w:spacing w:line="240" w:lineRule="auto"/>
              <w:ind w:firstLine="0" w:firstLineChars="0"/>
              <w:rPr>
                <w:sz w:val="18"/>
              </w:rPr>
            </w:pPr>
            <w:r>
              <w:rPr>
                <w:sz w:val="18"/>
              </w:rPr>
              <w:t>商务部分</w:t>
            </w:r>
          </w:p>
        </w:tc>
        <w:tc>
          <w:tcPr>
            <w:tcW w:w="387" w:type="pct"/>
            <w:shd w:val="clear" w:color="auto" w:fill="auto"/>
            <w:vAlign w:val="center"/>
          </w:tcPr>
          <w:p w14:paraId="797F3DCE">
            <w:pPr>
              <w:spacing w:line="240" w:lineRule="auto"/>
              <w:ind w:firstLine="0" w:firstLineChars="0"/>
              <w:jc w:val="center"/>
              <w:rPr>
                <w:sz w:val="18"/>
              </w:rPr>
            </w:pPr>
            <w:r>
              <w:rPr>
                <w:sz w:val="18"/>
              </w:rPr>
              <w:t>1</w:t>
            </w:r>
            <w:r>
              <w:rPr>
                <w:rFonts w:hint="eastAsia"/>
                <w:sz w:val="18"/>
              </w:rPr>
              <w:t>6</w:t>
            </w:r>
          </w:p>
        </w:tc>
        <w:tc>
          <w:tcPr>
            <w:tcW w:w="3361" w:type="pct"/>
            <w:shd w:val="clear" w:color="auto" w:fill="auto"/>
            <w:vAlign w:val="center"/>
          </w:tcPr>
          <w:p w14:paraId="4C92E18E">
            <w:pPr>
              <w:spacing w:line="240" w:lineRule="auto"/>
              <w:ind w:firstLine="0" w:firstLineChars="0"/>
              <w:rPr>
                <w:sz w:val="18"/>
              </w:rPr>
            </w:pPr>
          </w:p>
        </w:tc>
        <w:tc>
          <w:tcPr>
            <w:tcW w:w="374" w:type="pct"/>
            <w:shd w:val="clear" w:color="auto" w:fill="auto"/>
            <w:vAlign w:val="center"/>
          </w:tcPr>
          <w:p w14:paraId="6A34AEA3">
            <w:pPr>
              <w:spacing w:line="240" w:lineRule="auto"/>
              <w:ind w:firstLine="0" w:firstLineChars="0"/>
              <w:rPr>
                <w:sz w:val="18"/>
              </w:rPr>
            </w:pPr>
          </w:p>
        </w:tc>
      </w:tr>
      <w:tr w14:paraId="0819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shd w:val="clear" w:color="auto" w:fill="auto"/>
            <w:vAlign w:val="center"/>
          </w:tcPr>
          <w:p w14:paraId="38938FAD">
            <w:pPr>
              <w:spacing w:line="240" w:lineRule="auto"/>
              <w:ind w:firstLine="0" w:firstLineChars="0"/>
              <w:jc w:val="center"/>
              <w:rPr>
                <w:sz w:val="18"/>
              </w:rPr>
            </w:pPr>
            <w:r>
              <w:rPr>
                <w:rFonts w:hint="eastAsia"/>
                <w:sz w:val="18"/>
              </w:rPr>
              <w:t>1</w:t>
            </w:r>
          </w:p>
        </w:tc>
        <w:tc>
          <w:tcPr>
            <w:tcW w:w="511" w:type="pct"/>
            <w:shd w:val="clear" w:color="auto" w:fill="auto"/>
            <w:vAlign w:val="center"/>
          </w:tcPr>
          <w:p w14:paraId="396E1C7F">
            <w:pPr>
              <w:spacing w:line="240" w:lineRule="auto"/>
              <w:ind w:firstLine="0" w:firstLineChars="0"/>
              <w:rPr>
                <w:sz w:val="18"/>
              </w:rPr>
            </w:pPr>
            <w:r>
              <w:rPr>
                <w:rFonts w:hint="eastAsia"/>
                <w:sz w:val="18"/>
              </w:rPr>
              <w:t>资质条件</w:t>
            </w:r>
          </w:p>
        </w:tc>
        <w:tc>
          <w:tcPr>
            <w:tcW w:w="387" w:type="pct"/>
            <w:shd w:val="clear" w:color="auto" w:fill="auto"/>
            <w:vAlign w:val="center"/>
          </w:tcPr>
          <w:p w14:paraId="09D855CC">
            <w:pPr>
              <w:spacing w:line="240" w:lineRule="auto"/>
              <w:ind w:firstLine="0" w:firstLineChars="0"/>
              <w:jc w:val="center"/>
              <w:rPr>
                <w:rFonts w:hint="eastAsia" w:eastAsia="宋体"/>
                <w:sz w:val="18"/>
                <w:lang w:eastAsia="zh-CN"/>
              </w:rPr>
            </w:pPr>
            <w:r>
              <w:rPr>
                <w:rFonts w:hint="eastAsia"/>
                <w:sz w:val="18"/>
                <w:lang w:val="en-US" w:eastAsia="zh-CN"/>
              </w:rPr>
              <w:t>5</w:t>
            </w:r>
          </w:p>
        </w:tc>
        <w:tc>
          <w:tcPr>
            <w:tcW w:w="3361" w:type="pct"/>
            <w:shd w:val="clear" w:color="auto" w:fill="auto"/>
            <w:vAlign w:val="center"/>
          </w:tcPr>
          <w:p w14:paraId="7B438440">
            <w:pPr>
              <w:spacing w:line="240" w:lineRule="auto"/>
              <w:ind w:firstLine="0" w:firstLineChars="0"/>
              <w:rPr>
                <w:rFonts w:hint="eastAsia" w:eastAsia="宋体"/>
                <w:sz w:val="18"/>
                <w:lang w:eastAsia="zh-CN"/>
              </w:rPr>
            </w:pPr>
            <w:r>
              <w:rPr>
                <w:rFonts w:hint="eastAsia"/>
                <w:sz w:val="18"/>
              </w:rPr>
              <w:t>取得财政部、证监会证券业务备案的得</w:t>
            </w:r>
            <w:r>
              <w:rPr>
                <w:rFonts w:hint="eastAsia"/>
                <w:sz w:val="18"/>
                <w:lang w:val="en-US" w:eastAsia="zh-CN"/>
              </w:rPr>
              <w:t>5</w:t>
            </w:r>
            <w:r>
              <w:rPr>
                <w:rFonts w:hint="eastAsia"/>
                <w:sz w:val="18"/>
              </w:rPr>
              <w:t>分；未取得财政部、证监会证券业务备案的不得分。见附件</w:t>
            </w:r>
            <w:r>
              <w:rPr>
                <w:rFonts w:hint="eastAsia"/>
                <w:sz w:val="18"/>
                <w:lang w:val="en-US" w:eastAsia="zh-CN"/>
              </w:rPr>
              <w:t>4</w:t>
            </w:r>
            <w:r>
              <w:rPr>
                <w:rFonts w:hint="eastAsia"/>
                <w:sz w:val="18"/>
              </w:rPr>
              <w:t>.</w:t>
            </w:r>
            <w:r>
              <w:rPr>
                <w:rFonts w:hint="eastAsia"/>
                <w:sz w:val="18"/>
                <w:lang w:val="en-US" w:eastAsia="zh-CN"/>
              </w:rPr>
              <w:t>2</w:t>
            </w:r>
          </w:p>
        </w:tc>
        <w:tc>
          <w:tcPr>
            <w:tcW w:w="374" w:type="pct"/>
            <w:shd w:val="clear" w:color="auto" w:fill="auto"/>
            <w:vAlign w:val="center"/>
          </w:tcPr>
          <w:p w14:paraId="5EE5E766">
            <w:pPr>
              <w:spacing w:line="240" w:lineRule="auto"/>
              <w:ind w:firstLine="0" w:firstLineChars="0"/>
              <w:rPr>
                <w:sz w:val="18"/>
              </w:rPr>
            </w:pPr>
          </w:p>
        </w:tc>
      </w:tr>
      <w:tr w14:paraId="097D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Merge w:val="restart"/>
            <w:shd w:val="clear" w:color="auto" w:fill="auto"/>
            <w:vAlign w:val="center"/>
          </w:tcPr>
          <w:p w14:paraId="4EDF4433">
            <w:pPr>
              <w:spacing w:line="240" w:lineRule="auto"/>
              <w:ind w:firstLine="0" w:firstLineChars="0"/>
              <w:jc w:val="center"/>
              <w:rPr>
                <w:sz w:val="18"/>
              </w:rPr>
            </w:pPr>
            <w:r>
              <w:rPr>
                <w:sz w:val="18"/>
              </w:rPr>
              <w:t>2</w:t>
            </w:r>
          </w:p>
        </w:tc>
        <w:tc>
          <w:tcPr>
            <w:tcW w:w="511" w:type="pct"/>
            <w:vMerge w:val="restart"/>
            <w:vAlign w:val="center"/>
          </w:tcPr>
          <w:p w14:paraId="655FDE71">
            <w:pPr>
              <w:spacing w:line="240" w:lineRule="auto"/>
              <w:ind w:firstLine="0" w:firstLineChars="0"/>
              <w:rPr>
                <w:sz w:val="18"/>
              </w:rPr>
            </w:pPr>
            <w:r>
              <w:rPr>
                <w:rFonts w:hint="eastAsia"/>
                <w:sz w:val="18"/>
              </w:rPr>
              <w:t>执业记录</w:t>
            </w:r>
          </w:p>
        </w:tc>
        <w:tc>
          <w:tcPr>
            <w:tcW w:w="387" w:type="pct"/>
            <w:shd w:val="clear" w:color="auto" w:fill="auto"/>
            <w:vAlign w:val="center"/>
          </w:tcPr>
          <w:p w14:paraId="246EF875">
            <w:pPr>
              <w:spacing w:line="240" w:lineRule="auto"/>
              <w:ind w:firstLine="0" w:firstLineChars="0"/>
              <w:jc w:val="center"/>
              <w:rPr>
                <w:sz w:val="18"/>
              </w:rPr>
            </w:pPr>
            <w:r>
              <w:rPr>
                <w:rFonts w:hint="eastAsia"/>
                <w:sz w:val="18"/>
              </w:rPr>
              <w:t>5</w:t>
            </w:r>
          </w:p>
        </w:tc>
        <w:tc>
          <w:tcPr>
            <w:tcW w:w="3361" w:type="pct"/>
            <w:shd w:val="clear" w:color="auto" w:fill="auto"/>
            <w:vAlign w:val="center"/>
          </w:tcPr>
          <w:p w14:paraId="237A13B4">
            <w:pPr>
              <w:spacing w:line="240" w:lineRule="auto"/>
              <w:ind w:firstLine="0" w:firstLineChars="0"/>
              <w:rPr>
                <w:rFonts w:hint="eastAsia" w:eastAsia="宋体"/>
                <w:sz w:val="18"/>
                <w:lang w:eastAsia="zh-CN"/>
              </w:rPr>
            </w:pPr>
            <w:r>
              <w:rPr>
                <w:sz w:val="18"/>
              </w:rPr>
              <w:t>上市公司（含</w:t>
            </w:r>
            <w:r>
              <w:rPr>
                <w:rFonts w:hint="eastAsia"/>
                <w:sz w:val="18"/>
              </w:rPr>
              <w:t>汽车及零部件制造业、通用设备制造业、专用设备制造业</w:t>
            </w:r>
            <w:r>
              <w:rPr>
                <w:sz w:val="18"/>
              </w:rPr>
              <w:t>等）审计工作业绩：202</w:t>
            </w:r>
            <w:r>
              <w:rPr>
                <w:rFonts w:hint="eastAsia"/>
                <w:sz w:val="18"/>
                <w:lang w:val="en-US" w:eastAsia="zh-CN"/>
              </w:rPr>
              <w:t>3</w:t>
            </w:r>
            <w:r>
              <w:rPr>
                <w:sz w:val="18"/>
              </w:rPr>
              <w:t>年至今具有上市公司（含</w:t>
            </w:r>
            <w:r>
              <w:rPr>
                <w:rFonts w:hint="eastAsia"/>
                <w:sz w:val="18"/>
              </w:rPr>
              <w:t>汽车及零部件制造业、通用设备制造业、专用设备制造业</w:t>
            </w:r>
            <w:r>
              <w:rPr>
                <w:sz w:val="18"/>
              </w:rPr>
              <w:t>等）审计经验，每提供1个有效案例得1分，最高得5分。</w:t>
            </w:r>
            <w:r>
              <w:rPr>
                <w:rFonts w:hint="eastAsia"/>
                <w:sz w:val="18"/>
              </w:rPr>
              <w:t>见</w:t>
            </w:r>
            <w:r>
              <w:rPr>
                <w:sz w:val="18"/>
              </w:rPr>
              <w:t>附件</w:t>
            </w:r>
            <w:r>
              <w:rPr>
                <w:rFonts w:hint="eastAsia"/>
                <w:sz w:val="18"/>
                <w:lang w:val="en-US" w:eastAsia="zh-CN"/>
              </w:rPr>
              <w:t>5</w:t>
            </w:r>
          </w:p>
        </w:tc>
        <w:tc>
          <w:tcPr>
            <w:tcW w:w="374" w:type="pct"/>
            <w:vAlign w:val="center"/>
          </w:tcPr>
          <w:p w14:paraId="0A3CF542">
            <w:pPr>
              <w:spacing w:line="240" w:lineRule="auto"/>
              <w:ind w:firstLine="0" w:firstLineChars="0"/>
              <w:rPr>
                <w:sz w:val="18"/>
              </w:rPr>
            </w:pPr>
          </w:p>
        </w:tc>
      </w:tr>
      <w:tr w14:paraId="06B1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Merge w:val="continue"/>
            <w:shd w:val="clear" w:color="auto" w:fill="auto"/>
            <w:vAlign w:val="center"/>
          </w:tcPr>
          <w:p w14:paraId="2522A51F">
            <w:pPr>
              <w:spacing w:line="240" w:lineRule="auto"/>
              <w:ind w:firstLine="0" w:firstLineChars="0"/>
              <w:jc w:val="center"/>
              <w:rPr>
                <w:sz w:val="18"/>
              </w:rPr>
            </w:pPr>
          </w:p>
        </w:tc>
        <w:tc>
          <w:tcPr>
            <w:tcW w:w="511" w:type="pct"/>
            <w:vMerge w:val="continue"/>
            <w:vAlign w:val="center"/>
          </w:tcPr>
          <w:p w14:paraId="4A79BBBB">
            <w:pPr>
              <w:spacing w:line="240" w:lineRule="auto"/>
              <w:ind w:firstLine="0" w:firstLineChars="0"/>
              <w:rPr>
                <w:sz w:val="18"/>
              </w:rPr>
            </w:pPr>
          </w:p>
        </w:tc>
        <w:tc>
          <w:tcPr>
            <w:tcW w:w="387" w:type="pct"/>
            <w:shd w:val="clear" w:color="auto" w:fill="auto"/>
            <w:vAlign w:val="center"/>
          </w:tcPr>
          <w:p w14:paraId="1BE1AF9B">
            <w:pPr>
              <w:spacing w:line="240" w:lineRule="auto"/>
              <w:ind w:firstLine="0" w:firstLineChars="0"/>
              <w:jc w:val="center"/>
              <w:rPr>
                <w:sz w:val="18"/>
              </w:rPr>
            </w:pPr>
            <w:r>
              <w:rPr>
                <w:rFonts w:hint="eastAsia"/>
                <w:sz w:val="18"/>
              </w:rPr>
              <w:t>6</w:t>
            </w:r>
          </w:p>
        </w:tc>
        <w:tc>
          <w:tcPr>
            <w:tcW w:w="3361" w:type="pct"/>
            <w:shd w:val="clear" w:color="auto" w:fill="auto"/>
            <w:vAlign w:val="center"/>
          </w:tcPr>
          <w:p w14:paraId="5E3E0E3C">
            <w:pPr>
              <w:spacing w:line="240" w:lineRule="auto"/>
              <w:ind w:firstLine="0" w:firstLineChars="0"/>
              <w:rPr>
                <w:rFonts w:hint="eastAsia" w:eastAsia="宋体"/>
                <w:sz w:val="18"/>
                <w:lang w:eastAsia="zh-CN"/>
              </w:rPr>
            </w:pPr>
            <w:r>
              <w:rPr>
                <w:sz w:val="18"/>
              </w:rPr>
              <w:t>审计业绩质量评价：202</w:t>
            </w:r>
            <w:r>
              <w:rPr>
                <w:rFonts w:hint="eastAsia"/>
                <w:sz w:val="18"/>
                <w:lang w:val="en-US" w:eastAsia="zh-CN"/>
              </w:rPr>
              <w:t>3</w:t>
            </w:r>
            <w:r>
              <w:rPr>
                <w:sz w:val="18"/>
              </w:rPr>
              <w:t>年至今，受过</w:t>
            </w:r>
            <w:r>
              <w:rPr>
                <w:rFonts w:hint="eastAsia"/>
                <w:sz w:val="18"/>
              </w:rPr>
              <w:t>监管部门处罚的</w:t>
            </w:r>
            <w:r>
              <w:rPr>
                <w:sz w:val="18"/>
              </w:rPr>
              <w:t>，</w:t>
            </w:r>
            <w:r>
              <w:rPr>
                <w:rFonts w:hint="eastAsia"/>
                <w:sz w:val="18"/>
              </w:rPr>
              <w:t>0次得6分，1</w:t>
            </w:r>
            <w:r>
              <w:rPr>
                <w:sz w:val="18"/>
              </w:rPr>
              <w:t>-3</w:t>
            </w:r>
            <w:r>
              <w:rPr>
                <w:rFonts w:hint="eastAsia"/>
                <w:sz w:val="18"/>
              </w:rPr>
              <w:t>次得4分，</w:t>
            </w:r>
            <w:r>
              <w:rPr>
                <w:sz w:val="18"/>
              </w:rPr>
              <w:t>4-6</w:t>
            </w:r>
            <w:r>
              <w:rPr>
                <w:rFonts w:hint="eastAsia"/>
                <w:sz w:val="18"/>
              </w:rPr>
              <w:t>次得2分，6次以上得0分（需</w:t>
            </w:r>
            <w:r>
              <w:rPr>
                <w:sz w:val="18"/>
              </w:rPr>
              <w:t>提供中注协网站查询截图</w:t>
            </w:r>
            <w:r>
              <w:rPr>
                <w:rFonts w:hint="eastAsia"/>
                <w:sz w:val="18"/>
              </w:rPr>
              <w:t>）</w:t>
            </w:r>
            <w:r>
              <w:rPr>
                <w:sz w:val="18"/>
              </w:rPr>
              <w:t>。</w:t>
            </w:r>
            <w:r>
              <w:rPr>
                <w:rFonts w:hint="eastAsia"/>
                <w:sz w:val="18"/>
              </w:rPr>
              <w:t>见</w:t>
            </w:r>
            <w:r>
              <w:rPr>
                <w:sz w:val="18"/>
              </w:rPr>
              <w:t>附件</w:t>
            </w:r>
            <w:r>
              <w:rPr>
                <w:rFonts w:hint="eastAsia"/>
                <w:sz w:val="18"/>
                <w:lang w:val="en-US" w:eastAsia="zh-CN"/>
              </w:rPr>
              <w:t>4</w:t>
            </w:r>
            <w:r>
              <w:rPr>
                <w:sz w:val="18"/>
              </w:rPr>
              <w:t>.</w:t>
            </w:r>
            <w:r>
              <w:rPr>
                <w:rFonts w:hint="eastAsia"/>
                <w:sz w:val="18"/>
                <w:lang w:val="en-US" w:eastAsia="zh-CN"/>
              </w:rPr>
              <w:t>3</w:t>
            </w:r>
          </w:p>
        </w:tc>
        <w:tc>
          <w:tcPr>
            <w:tcW w:w="374" w:type="pct"/>
            <w:vAlign w:val="center"/>
          </w:tcPr>
          <w:p w14:paraId="4397C4ED">
            <w:pPr>
              <w:spacing w:line="240" w:lineRule="auto"/>
              <w:ind w:firstLine="0" w:firstLineChars="0"/>
              <w:rPr>
                <w:sz w:val="18"/>
              </w:rPr>
            </w:pPr>
          </w:p>
        </w:tc>
      </w:tr>
      <w:tr w14:paraId="2A8C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shd w:val="clear" w:color="auto" w:fill="auto"/>
            <w:vAlign w:val="center"/>
          </w:tcPr>
          <w:p w14:paraId="25D62599">
            <w:pPr>
              <w:spacing w:line="240" w:lineRule="auto"/>
              <w:ind w:firstLine="0" w:firstLineChars="0"/>
              <w:jc w:val="center"/>
              <w:rPr>
                <w:sz w:val="18"/>
              </w:rPr>
            </w:pPr>
            <w:r>
              <w:rPr>
                <w:sz w:val="18"/>
              </w:rPr>
              <w:t>二</w:t>
            </w:r>
          </w:p>
        </w:tc>
        <w:tc>
          <w:tcPr>
            <w:tcW w:w="511" w:type="pct"/>
            <w:vAlign w:val="center"/>
          </w:tcPr>
          <w:p w14:paraId="407F885E">
            <w:pPr>
              <w:spacing w:line="240" w:lineRule="auto"/>
              <w:ind w:firstLine="0" w:firstLineChars="0"/>
              <w:rPr>
                <w:sz w:val="18"/>
              </w:rPr>
            </w:pPr>
            <w:r>
              <w:rPr>
                <w:rFonts w:hint="eastAsia"/>
                <w:sz w:val="18"/>
              </w:rPr>
              <w:t>技术部分</w:t>
            </w:r>
          </w:p>
        </w:tc>
        <w:tc>
          <w:tcPr>
            <w:tcW w:w="387" w:type="pct"/>
            <w:vAlign w:val="center"/>
          </w:tcPr>
          <w:p w14:paraId="66DD57A3">
            <w:pPr>
              <w:spacing w:line="240" w:lineRule="auto"/>
              <w:ind w:firstLine="0" w:firstLineChars="0"/>
              <w:jc w:val="center"/>
              <w:rPr>
                <w:sz w:val="18"/>
              </w:rPr>
            </w:pPr>
            <w:r>
              <w:rPr>
                <w:rFonts w:hint="eastAsia"/>
                <w:sz w:val="18"/>
              </w:rPr>
              <w:t>69</w:t>
            </w:r>
          </w:p>
        </w:tc>
        <w:tc>
          <w:tcPr>
            <w:tcW w:w="3361" w:type="pct"/>
            <w:vAlign w:val="center"/>
          </w:tcPr>
          <w:p w14:paraId="52EF377B">
            <w:pPr>
              <w:spacing w:line="240" w:lineRule="auto"/>
              <w:ind w:firstLine="0" w:firstLineChars="0"/>
              <w:rPr>
                <w:sz w:val="18"/>
              </w:rPr>
            </w:pPr>
          </w:p>
        </w:tc>
        <w:tc>
          <w:tcPr>
            <w:tcW w:w="374" w:type="pct"/>
            <w:vAlign w:val="center"/>
          </w:tcPr>
          <w:p w14:paraId="103B17AA">
            <w:pPr>
              <w:spacing w:line="240" w:lineRule="auto"/>
              <w:ind w:firstLine="0" w:firstLineChars="0"/>
              <w:rPr>
                <w:sz w:val="18"/>
              </w:rPr>
            </w:pPr>
          </w:p>
        </w:tc>
      </w:tr>
      <w:tr w14:paraId="3516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72BE6816">
            <w:pPr>
              <w:spacing w:line="240" w:lineRule="auto"/>
              <w:ind w:firstLine="0" w:firstLineChars="0"/>
              <w:jc w:val="center"/>
              <w:rPr>
                <w:sz w:val="18"/>
              </w:rPr>
            </w:pPr>
            <w:r>
              <w:rPr>
                <w:rFonts w:hint="eastAsia"/>
                <w:sz w:val="18"/>
              </w:rPr>
              <w:t>1</w:t>
            </w:r>
          </w:p>
        </w:tc>
        <w:tc>
          <w:tcPr>
            <w:tcW w:w="511" w:type="pct"/>
            <w:shd w:val="clear" w:color="auto" w:fill="auto"/>
            <w:vAlign w:val="center"/>
          </w:tcPr>
          <w:p w14:paraId="0FC5DBDD">
            <w:pPr>
              <w:spacing w:line="240" w:lineRule="auto"/>
              <w:ind w:firstLine="0" w:firstLineChars="0"/>
              <w:rPr>
                <w:sz w:val="18"/>
              </w:rPr>
            </w:pPr>
            <w:r>
              <w:rPr>
                <w:sz w:val="18"/>
              </w:rPr>
              <w:t>工作方案</w:t>
            </w:r>
          </w:p>
        </w:tc>
        <w:tc>
          <w:tcPr>
            <w:tcW w:w="387" w:type="pct"/>
            <w:shd w:val="clear" w:color="auto" w:fill="auto"/>
            <w:vAlign w:val="center"/>
          </w:tcPr>
          <w:p w14:paraId="6FAC81DE">
            <w:pPr>
              <w:spacing w:line="240" w:lineRule="auto"/>
              <w:ind w:firstLine="0" w:firstLineChars="0"/>
              <w:jc w:val="center"/>
              <w:rPr>
                <w:sz w:val="18"/>
              </w:rPr>
            </w:pPr>
            <w:r>
              <w:rPr>
                <w:sz w:val="18"/>
              </w:rPr>
              <w:t>10</w:t>
            </w:r>
          </w:p>
        </w:tc>
        <w:tc>
          <w:tcPr>
            <w:tcW w:w="3361" w:type="pct"/>
            <w:shd w:val="clear" w:color="auto" w:fill="auto"/>
            <w:vAlign w:val="center"/>
          </w:tcPr>
          <w:p w14:paraId="4AEB22A4">
            <w:pPr>
              <w:spacing w:line="240" w:lineRule="auto"/>
              <w:ind w:firstLine="0" w:firstLineChars="0"/>
              <w:rPr>
                <w:sz w:val="18"/>
              </w:rPr>
            </w:pPr>
            <w:r>
              <w:rPr>
                <w:sz w:val="18"/>
              </w:rPr>
              <w:t>方案制定与年度财务决算审计</w:t>
            </w:r>
            <w:r>
              <w:rPr>
                <w:rFonts w:hint="eastAsia"/>
                <w:sz w:val="18"/>
              </w:rPr>
              <w:t>及内控审计</w:t>
            </w:r>
            <w:r>
              <w:rPr>
                <w:sz w:val="18"/>
              </w:rPr>
              <w:t>工作要求的符合性：方案内容充实、切实可行、与本项目贴合度高、针对性强、完全满足采购需求。会计师事务所要根据被审计单位规模、业务范围和审计复杂性合理安排审计时间。</w:t>
            </w:r>
          </w:p>
          <w:p w14:paraId="7203576A">
            <w:pPr>
              <w:spacing w:line="240" w:lineRule="auto"/>
              <w:ind w:firstLine="0" w:firstLineChars="0"/>
              <w:rPr>
                <w:rFonts w:hint="eastAsia" w:eastAsia="宋体"/>
                <w:sz w:val="18"/>
                <w:lang w:eastAsia="zh-CN"/>
              </w:rPr>
            </w:pPr>
            <w:r>
              <w:rPr>
                <w:sz w:val="18"/>
              </w:rPr>
              <w:t>按照优、良、中、差，依次得8-10分、4-7分、1-3分、0分。</w:t>
            </w:r>
            <w:r>
              <w:rPr>
                <w:rFonts w:hint="eastAsia"/>
                <w:sz w:val="18"/>
              </w:rPr>
              <w:t>见</w:t>
            </w:r>
            <w:r>
              <w:rPr>
                <w:sz w:val="18"/>
              </w:rPr>
              <w:t>附件</w:t>
            </w:r>
            <w:r>
              <w:rPr>
                <w:rFonts w:hint="eastAsia"/>
                <w:sz w:val="18"/>
                <w:lang w:val="en-US" w:eastAsia="zh-CN"/>
              </w:rPr>
              <w:t>9</w:t>
            </w:r>
          </w:p>
        </w:tc>
        <w:tc>
          <w:tcPr>
            <w:tcW w:w="374" w:type="pct"/>
            <w:vAlign w:val="center"/>
          </w:tcPr>
          <w:p w14:paraId="133E8733">
            <w:pPr>
              <w:spacing w:line="240" w:lineRule="auto"/>
              <w:ind w:firstLine="0" w:firstLineChars="0"/>
              <w:rPr>
                <w:sz w:val="18"/>
              </w:rPr>
            </w:pPr>
          </w:p>
        </w:tc>
      </w:tr>
      <w:tr w14:paraId="3C2C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56486ACB">
            <w:pPr>
              <w:spacing w:line="240" w:lineRule="auto"/>
              <w:ind w:firstLine="0" w:firstLineChars="0"/>
              <w:jc w:val="center"/>
              <w:rPr>
                <w:sz w:val="18"/>
              </w:rPr>
            </w:pPr>
            <w:r>
              <w:rPr>
                <w:rFonts w:hint="eastAsia"/>
                <w:sz w:val="18"/>
              </w:rPr>
              <w:t>2</w:t>
            </w:r>
          </w:p>
        </w:tc>
        <w:tc>
          <w:tcPr>
            <w:tcW w:w="511" w:type="pct"/>
            <w:vAlign w:val="center"/>
          </w:tcPr>
          <w:p w14:paraId="5C9E30F7">
            <w:pPr>
              <w:spacing w:line="240" w:lineRule="auto"/>
              <w:ind w:firstLine="0" w:firstLineChars="0"/>
              <w:rPr>
                <w:sz w:val="18"/>
              </w:rPr>
            </w:pPr>
            <w:r>
              <w:rPr>
                <w:rFonts w:hint="eastAsia"/>
                <w:sz w:val="18"/>
              </w:rPr>
              <w:t>质量管理水平</w:t>
            </w:r>
          </w:p>
        </w:tc>
        <w:tc>
          <w:tcPr>
            <w:tcW w:w="387" w:type="pct"/>
            <w:vAlign w:val="center"/>
          </w:tcPr>
          <w:p w14:paraId="0523C3DF">
            <w:pPr>
              <w:spacing w:line="240" w:lineRule="auto"/>
              <w:ind w:firstLine="0" w:firstLineChars="0"/>
              <w:jc w:val="center"/>
              <w:rPr>
                <w:sz w:val="18"/>
              </w:rPr>
            </w:pPr>
            <w:r>
              <w:rPr>
                <w:rFonts w:hint="eastAsia"/>
                <w:sz w:val="18"/>
              </w:rPr>
              <w:t>4</w:t>
            </w:r>
            <w:r>
              <w:rPr>
                <w:sz w:val="18"/>
              </w:rPr>
              <w:t>0</w:t>
            </w:r>
          </w:p>
        </w:tc>
        <w:tc>
          <w:tcPr>
            <w:tcW w:w="3361" w:type="pct"/>
            <w:shd w:val="clear" w:color="auto" w:fill="auto"/>
            <w:vAlign w:val="center"/>
          </w:tcPr>
          <w:p w14:paraId="4631DB92">
            <w:pPr>
              <w:spacing w:line="240" w:lineRule="auto"/>
              <w:ind w:firstLine="0" w:firstLineChars="0"/>
              <w:rPr>
                <w:sz w:val="18"/>
              </w:rPr>
            </w:pPr>
            <w:r>
              <w:rPr>
                <w:sz w:val="18"/>
              </w:rPr>
              <w:t>根据投标文件中提供的质量管理制度及实施情况进行评审，包括但不限于项目咨询、意见分歧解决、项目质量复核、项目质量检查、质量管理缺陷识别与整改等5方面的政策与程序，每个方面满分为8分。</w:t>
            </w:r>
          </w:p>
          <w:p w14:paraId="0604E923">
            <w:pPr>
              <w:spacing w:line="240" w:lineRule="auto"/>
              <w:ind w:firstLine="0" w:firstLineChars="0"/>
              <w:rPr>
                <w:rFonts w:hint="eastAsia" w:eastAsia="宋体"/>
                <w:sz w:val="18"/>
                <w:lang w:val="en-US" w:eastAsia="zh-CN"/>
              </w:rPr>
            </w:pPr>
            <w:r>
              <w:rPr>
                <w:sz w:val="18"/>
              </w:rPr>
              <w:t>每项内容完整、切实可行的，为优，得6-8分；上述内容比较完整，具有可行性的，为良，得4-6分（不含）；上述内容基本完整，具有一定可行性的，为中，得2-4分（不含）；上述内容不完整，具有较小可行性的，为差，得0-2分（不含）；若不提供或完全不具备可行性的，不得分。</w:t>
            </w:r>
            <w:r>
              <w:rPr>
                <w:rFonts w:hint="eastAsia"/>
                <w:sz w:val="18"/>
              </w:rPr>
              <w:t>见</w:t>
            </w:r>
            <w:r>
              <w:rPr>
                <w:sz w:val="18"/>
              </w:rPr>
              <w:t>附件</w:t>
            </w:r>
            <w:r>
              <w:rPr>
                <w:rFonts w:hint="eastAsia"/>
                <w:sz w:val="18"/>
                <w:lang w:val="en-US" w:eastAsia="zh-CN"/>
              </w:rPr>
              <w:t>8</w:t>
            </w:r>
          </w:p>
        </w:tc>
        <w:tc>
          <w:tcPr>
            <w:tcW w:w="374" w:type="pct"/>
            <w:vAlign w:val="center"/>
          </w:tcPr>
          <w:p w14:paraId="58A58251">
            <w:pPr>
              <w:spacing w:line="240" w:lineRule="auto"/>
              <w:ind w:firstLine="0" w:firstLineChars="0"/>
              <w:rPr>
                <w:sz w:val="18"/>
              </w:rPr>
            </w:pPr>
          </w:p>
        </w:tc>
      </w:tr>
      <w:tr w14:paraId="6D55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4E38A65C">
            <w:pPr>
              <w:spacing w:line="240" w:lineRule="auto"/>
              <w:ind w:firstLine="0" w:firstLineChars="0"/>
              <w:jc w:val="center"/>
              <w:rPr>
                <w:sz w:val="18"/>
              </w:rPr>
            </w:pPr>
            <w:r>
              <w:rPr>
                <w:rFonts w:hint="eastAsia"/>
                <w:sz w:val="18"/>
              </w:rPr>
              <w:t>3</w:t>
            </w:r>
          </w:p>
        </w:tc>
        <w:tc>
          <w:tcPr>
            <w:tcW w:w="511" w:type="pct"/>
            <w:vMerge w:val="restart"/>
            <w:vAlign w:val="center"/>
          </w:tcPr>
          <w:p w14:paraId="67ED1855">
            <w:pPr>
              <w:spacing w:line="240" w:lineRule="auto"/>
              <w:ind w:firstLine="0" w:firstLineChars="0"/>
              <w:rPr>
                <w:sz w:val="18"/>
              </w:rPr>
            </w:pPr>
            <w:r>
              <w:rPr>
                <w:sz w:val="18"/>
              </w:rPr>
              <w:t>团队配置</w:t>
            </w:r>
          </w:p>
        </w:tc>
        <w:tc>
          <w:tcPr>
            <w:tcW w:w="387" w:type="pct"/>
            <w:shd w:val="clear" w:color="auto" w:fill="auto"/>
            <w:vAlign w:val="center"/>
          </w:tcPr>
          <w:p w14:paraId="4774D13B">
            <w:pPr>
              <w:spacing w:line="240" w:lineRule="auto"/>
              <w:ind w:firstLine="0" w:firstLineChars="0"/>
              <w:jc w:val="center"/>
              <w:rPr>
                <w:sz w:val="18"/>
              </w:rPr>
            </w:pPr>
            <w:r>
              <w:rPr>
                <w:rFonts w:hint="eastAsia"/>
                <w:sz w:val="18"/>
              </w:rPr>
              <w:t>7</w:t>
            </w:r>
          </w:p>
        </w:tc>
        <w:tc>
          <w:tcPr>
            <w:tcW w:w="3361" w:type="pct"/>
            <w:shd w:val="clear" w:color="auto" w:fill="auto"/>
            <w:vAlign w:val="center"/>
          </w:tcPr>
          <w:p w14:paraId="677D2B59">
            <w:pPr>
              <w:spacing w:line="240" w:lineRule="auto"/>
              <w:ind w:firstLine="0" w:firstLineChars="0"/>
              <w:rPr>
                <w:rFonts w:hint="eastAsia" w:eastAsia="宋体"/>
                <w:sz w:val="18"/>
                <w:lang w:val="en-US" w:eastAsia="zh-CN"/>
              </w:rPr>
            </w:pPr>
            <w:r>
              <w:rPr>
                <w:rFonts w:hint="eastAsia"/>
                <w:sz w:val="18"/>
              </w:rPr>
              <w:t>负责</w:t>
            </w:r>
            <w:r>
              <w:rPr>
                <w:sz w:val="18"/>
              </w:rPr>
              <w:t>本项目</w:t>
            </w:r>
            <w:r>
              <w:rPr>
                <w:rFonts w:hint="eastAsia"/>
                <w:sz w:val="18"/>
              </w:rPr>
              <w:t>的签字会计师</w:t>
            </w:r>
            <w:r>
              <w:rPr>
                <w:sz w:val="18"/>
              </w:rPr>
              <w:t>需具备注册会计师执业资格证，具有担任项目负责人5年以上工作经历，具有丰富的工作经验，综合实力强，专业对口。按照优、良、中、差，依次得7分、4-6分、</w:t>
            </w:r>
            <w:r>
              <w:rPr>
                <w:rFonts w:hint="eastAsia"/>
                <w:sz w:val="18"/>
              </w:rPr>
              <w:t>1-</w:t>
            </w:r>
            <w:r>
              <w:rPr>
                <w:sz w:val="18"/>
              </w:rPr>
              <w:t>3分、0分。</w:t>
            </w:r>
            <w:r>
              <w:rPr>
                <w:rFonts w:hint="eastAsia"/>
                <w:sz w:val="18"/>
              </w:rPr>
              <w:t>见</w:t>
            </w:r>
            <w:r>
              <w:rPr>
                <w:sz w:val="18"/>
              </w:rPr>
              <w:t>附件</w:t>
            </w:r>
            <w:r>
              <w:rPr>
                <w:rFonts w:hint="eastAsia"/>
                <w:sz w:val="18"/>
                <w:lang w:val="en-US" w:eastAsia="zh-CN"/>
              </w:rPr>
              <w:t>7</w:t>
            </w:r>
          </w:p>
        </w:tc>
        <w:tc>
          <w:tcPr>
            <w:tcW w:w="374" w:type="pct"/>
            <w:vAlign w:val="center"/>
          </w:tcPr>
          <w:p w14:paraId="10AFE02D">
            <w:pPr>
              <w:spacing w:line="240" w:lineRule="auto"/>
              <w:ind w:firstLine="0" w:firstLineChars="0"/>
              <w:rPr>
                <w:sz w:val="18"/>
              </w:rPr>
            </w:pPr>
          </w:p>
        </w:tc>
      </w:tr>
      <w:tr w14:paraId="1F93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55C37777">
            <w:pPr>
              <w:spacing w:line="240" w:lineRule="auto"/>
              <w:ind w:firstLine="0" w:firstLineChars="0"/>
              <w:jc w:val="center"/>
              <w:rPr>
                <w:sz w:val="18"/>
              </w:rPr>
            </w:pPr>
            <w:r>
              <w:rPr>
                <w:sz w:val="18"/>
              </w:rPr>
              <w:t>4</w:t>
            </w:r>
          </w:p>
        </w:tc>
        <w:tc>
          <w:tcPr>
            <w:tcW w:w="511" w:type="pct"/>
            <w:vMerge w:val="continue"/>
            <w:vAlign w:val="center"/>
          </w:tcPr>
          <w:p w14:paraId="4EA495EE">
            <w:pPr>
              <w:spacing w:line="240" w:lineRule="auto"/>
              <w:ind w:firstLine="0" w:firstLineChars="0"/>
              <w:rPr>
                <w:sz w:val="18"/>
              </w:rPr>
            </w:pPr>
          </w:p>
        </w:tc>
        <w:tc>
          <w:tcPr>
            <w:tcW w:w="387" w:type="pct"/>
            <w:shd w:val="clear" w:color="auto" w:fill="auto"/>
            <w:vAlign w:val="center"/>
          </w:tcPr>
          <w:p w14:paraId="7818CAA3">
            <w:pPr>
              <w:spacing w:line="240" w:lineRule="auto"/>
              <w:ind w:firstLine="0" w:firstLineChars="0"/>
              <w:jc w:val="center"/>
              <w:rPr>
                <w:sz w:val="18"/>
              </w:rPr>
            </w:pPr>
            <w:r>
              <w:rPr>
                <w:rFonts w:hint="eastAsia"/>
                <w:sz w:val="18"/>
              </w:rPr>
              <w:t>6</w:t>
            </w:r>
          </w:p>
        </w:tc>
        <w:tc>
          <w:tcPr>
            <w:tcW w:w="3361" w:type="pct"/>
            <w:shd w:val="clear" w:color="auto" w:fill="auto"/>
            <w:vAlign w:val="center"/>
          </w:tcPr>
          <w:p w14:paraId="69F79C91">
            <w:pPr>
              <w:spacing w:line="240" w:lineRule="auto"/>
              <w:ind w:firstLine="0" w:firstLineChars="0"/>
              <w:rPr>
                <w:rFonts w:hint="eastAsia" w:eastAsia="宋体"/>
                <w:sz w:val="18"/>
                <w:lang w:val="en-US" w:eastAsia="zh-CN"/>
              </w:rPr>
            </w:pPr>
            <w:r>
              <w:rPr>
                <w:sz w:val="18"/>
              </w:rPr>
              <w:t>本项目团队的项目负责人具有上市公司审计经验的，每具有1个得2分，满分6分。</w:t>
            </w:r>
            <w:r>
              <w:rPr>
                <w:rFonts w:hint="eastAsia"/>
                <w:sz w:val="18"/>
              </w:rPr>
              <w:t>见</w:t>
            </w:r>
            <w:r>
              <w:rPr>
                <w:sz w:val="18"/>
              </w:rPr>
              <w:t>附件</w:t>
            </w:r>
            <w:r>
              <w:rPr>
                <w:rFonts w:hint="eastAsia"/>
                <w:sz w:val="18"/>
                <w:lang w:val="en-US" w:eastAsia="zh-CN"/>
              </w:rPr>
              <w:t>7</w:t>
            </w:r>
          </w:p>
        </w:tc>
        <w:tc>
          <w:tcPr>
            <w:tcW w:w="374" w:type="pct"/>
            <w:vAlign w:val="center"/>
          </w:tcPr>
          <w:p w14:paraId="340E4DBD">
            <w:pPr>
              <w:spacing w:line="240" w:lineRule="auto"/>
              <w:ind w:firstLine="0" w:firstLineChars="0"/>
              <w:rPr>
                <w:sz w:val="18"/>
              </w:rPr>
            </w:pPr>
          </w:p>
        </w:tc>
      </w:tr>
      <w:tr w14:paraId="539B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shd w:val="clear" w:color="auto" w:fill="auto"/>
            <w:vAlign w:val="center"/>
          </w:tcPr>
          <w:p w14:paraId="51C0153D">
            <w:pPr>
              <w:spacing w:line="240" w:lineRule="auto"/>
              <w:ind w:firstLine="0" w:firstLineChars="0"/>
              <w:jc w:val="center"/>
              <w:rPr>
                <w:sz w:val="18"/>
              </w:rPr>
            </w:pPr>
            <w:r>
              <w:rPr>
                <w:sz w:val="18"/>
              </w:rPr>
              <w:t>5</w:t>
            </w:r>
          </w:p>
        </w:tc>
        <w:tc>
          <w:tcPr>
            <w:tcW w:w="511" w:type="pct"/>
            <w:shd w:val="clear" w:color="auto" w:fill="auto"/>
            <w:vAlign w:val="center"/>
          </w:tcPr>
          <w:p w14:paraId="2F2E277E">
            <w:pPr>
              <w:spacing w:line="240" w:lineRule="auto"/>
              <w:ind w:firstLine="0" w:firstLineChars="0"/>
              <w:rPr>
                <w:sz w:val="18"/>
              </w:rPr>
            </w:pPr>
            <w:r>
              <w:rPr>
                <w:sz w:val="18"/>
              </w:rPr>
              <w:t>信息安全管理</w:t>
            </w:r>
          </w:p>
        </w:tc>
        <w:tc>
          <w:tcPr>
            <w:tcW w:w="387" w:type="pct"/>
            <w:shd w:val="clear" w:color="auto" w:fill="auto"/>
            <w:vAlign w:val="center"/>
          </w:tcPr>
          <w:p w14:paraId="703062F5">
            <w:pPr>
              <w:spacing w:line="240" w:lineRule="auto"/>
              <w:ind w:firstLine="0" w:firstLineChars="0"/>
              <w:jc w:val="center"/>
              <w:rPr>
                <w:sz w:val="18"/>
              </w:rPr>
            </w:pPr>
            <w:r>
              <w:rPr>
                <w:sz w:val="18"/>
              </w:rPr>
              <w:t>3</w:t>
            </w:r>
          </w:p>
        </w:tc>
        <w:tc>
          <w:tcPr>
            <w:tcW w:w="3361" w:type="pct"/>
            <w:shd w:val="clear" w:color="auto" w:fill="auto"/>
            <w:vAlign w:val="center"/>
          </w:tcPr>
          <w:p w14:paraId="796BCFC0">
            <w:pPr>
              <w:spacing w:line="240" w:lineRule="auto"/>
              <w:ind w:firstLine="0" w:firstLineChars="0"/>
              <w:rPr>
                <w:rFonts w:hint="default" w:eastAsia="宋体"/>
                <w:sz w:val="18"/>
                <w:lang w:val="en-US" w:eastAsia="zh-CN"/>
              </w:rPr>
            </w:pPr>
            <w:r>
              <w:rPr>
                <w:rFonts w:hint="eastAsia"/>
                <w:sz w:val="18"/>
              </w:rPr>
              <w:t>事务所建立了信息安全管理制度，设置了专门部门或人员进行管理，信息安全性高的得</w:t>
            </w:r>
            <w:r>
              <w:rPr>
                <w:sz w:val="18"/>
              </w:rPr>
              <w:t>3分；没有建立相关信息安全管理制度的或未设置专门部门或人员进行管理导致信息安全性较低的，不得分。见附件</w:t>
            </w:r>
            <w:r>
              <w:rPr>
                <w:rFonts w:hint="eastAsia"/>
                <w:sz w:val="18"/>
                <w:lang w:val="en-US" w:eastAsia="zh-CN"/>
              </w:rPr>
              <w:t>10</w:t>
            </w:r>
          </w:p>
        </w:tc>
        <w:tc>
          <w:tcPr>
            <w:tcW w:w="374" w:type="pct"/>
            <w:vAlign w:val="center"/>
          </w:tcPr>
          <w:p w14:paraId="0189BDF7">
            <w:pPr>
              <w:spacing w:line="240" w:lineRule="auto"/>
              <w:ind w:firstLine="0" w:firstLineChars="0"/>
              <w:rPr>
                <w:sz w:val="18"/>
              </w:rPr>
            </w:pPr>
          </w:p>
        </w:tc>
      </w:tr>
      <w:tr w14:paraId="453E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shd w:val="clear" w:color="auto" w:fill="auto"/>
            <w:vAlign w:val="center"/>
          </w:tcPr>
          <w:p w14:paraId="3C2CA38F">
            <w:pPr>
              <w:spacing w:line="240" w:lineRule="auto"/>
              <w:ind w:firstLine="0" w:firstLineChars="0"/>
              <w:jc w:val="center"/>
              <w:rPr>
                <w:sz w:val="18"/>
              </w:rPr>
            </w:pPr>
            <w:r>
              <w:rPr>
                <w:sz w:val="18"/>
              </w:rPr>
              <w:t>6</w:t>
            </w:r>
          </w:p>
        </w:tc>
        <w:tc>
          <w:tcPr>
            <w:tcW w:w="511" w:type="pct"/>
            <w:shd w:val="clear" w:color="auto" w:fill="auto"/>
            <w:vAlign w:val="center"/>
          </w:tcPr>
          <w:p w14:paraId="193484A3">
            <w:pPr>
              <w:spacing w:line="240" w:lineRule="auto"/>
              <w:ind w:firstLine="0" w:firstLineChars="0"/>
              <w:rPr>
                <w:sz w:val="18"/>
              </w:rPr>
            </w:pPr>
            <w:r>
              <w:rPr>
                <w:sz w:val="18"/>
              </w:rPr>
              <w:t>风险承担能力</w:t>
            </w:r>
          </w:p>
        </w:tc>
        <w:tc>
          <w:tcPr>
            <w:tcW w:w="387" w:type="pct"/>
            <w:shd w:val="clear" w:color="auto" w:fill="auto"/>
            <w:vAlign w:val="center"/>
          </w:tcPr>
          <w:p w14:paraId="2D7579E5">
            <w:pPr>
              <w:spacing w:line="240" w:lineRule="auto"/>
              <w:ind w:firstLine="0" w:firstLineChars="0"/>
              <w:jc w:val="center"/>
              <w:rPr>
                <w:sz w:val="18"/>
              </w:rPr>
            </w:pPr>
            <w:r>
              <w:rPr>
                <w:sz w:val="18"/>
              </w:rPr>
              <w:t>3</w:t>
            </w:r>
          </w:p>
        </w:tc>
        <w:tc>
          <w:tcPr>
            <w:tcW w:w="3361" w:type="pct"/>
            <w:shd w:val="clear" w:color="auto" w:fill="auto"/>
            <w:vAlign w:val="center"/>
          </w:tcPr>
          <w:p w14:paraId="5717D1EC">
            <w:pPr>
              <w:spacing w:line="240" w:lineRule="auto"/>
              <w:ind w:firstLine="0" w:firstLineChars="0"/>
              <w:rPr>
                <w:sz w:val="18"/>
              </w:rPr>
            </w:pPr>
            <w:r>
              <w:rPr>
                <w:rFonts w:hint="eastAsia"/>
                <w:sz w:val="18"/>
              </w:rPr>
              <w:t>按照相关要求计提了风险金或缴纳了职业保险金的，并提供证明材料的，得3分；</w:t>
            </w:r>
          </w:p>
          <w:p w14:paraId="1CD61F02">
            <w:pPr>
              <w:spacing w:line="240" w:lineRule="auto"/>
              <w:ind w:firstLine="0" w:firstLineChars="0"/>
              <w:rPr>
                <w:rFonts w:hint="default" w:eastAsia="宋体"/>
                <w:sz w:val="18"/>
                <w:lang w:val="en-US" w:eastAsia="zh-CN"/>
              </w:rPr>
            </w:pPr>
            <w:r>
              <w:rPr>
                <w:rFonts w:hint="eastAsia"/>
                <w:sz w:val="18"/>
              </w:rPr>
              <w:t>风险金计提不足的或是没按要求缴纳风险金或缴纳职业保险金的，或不能提供证明材料的，不得分。见</w:t>
            </w:r>
            <w:r>
              <w:rPr>
                <w:sz w:val="18"/>
              </w:rPr>
              <w:t>附件</w:t>
            </w:r>
            <w:r>
              <w:rPr>
                <w:rFonts w:hint="eastAsia"/>
                <w:sz w:val="18"/>
                <w:lang w:val="en-US" w:eastAsia="zh-CN"/>
              </w:rPr>
              <w:t>11</w:t>
            </w:r>
          </w:p>
        </w:tc>
        <w:tc>
          <w:tcPr>
            <w:tcW w:w="374" w:type="pct"/>
            <w:vAlign w:val="center"/>
          </w:tcPr>
          <w:p w14:paraId="2DAD0F5F">
            <w:pPr>
              <w:spacing w:line="240" w:lineRule="auto"/>
              <w:ind w:firstLine="0" w:firstLineChars="0"/>
              <w:rPr>
                <w:sz w:val="18"/>
              </w:rPr>
            </w:pPr>
          </w:p>
        </w:tc>
      </w:tr>
      <w:tr w14:paraId="7257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shd w:val="clear" w:color="auto" w:fill="auto"/>
            <w:vAlign w:val="center"/>
          </w:tcPr>
          <w:p w14:paraId="5180AA76">
            <w:pPr>
              <w:spacing w:line="240" w:lineRule="auto"/>
              <w:ind w:firstLine="0" w:firstLineChars="0"/>
              <w:jc w:val="center"/>
              <w:rPr>
                <w:sz w:val="18"/>
              </w:rPr>
            </w:pPr>
            <w:r>
              <w:rPr>
                <w:sz w:val="18"/>
              </w:rPr>
              <w:t>三</w:t>
            </w:r>
          </w:p>
        </w:tc>
        <w:tc>
          <w:tcPr>
            <w:tcW w:w="511" w:type="pct"/>
            <w:shd w:val="clear" w:color="auto" w:fill="auto"/>
            <w:vAlign w:val="center"/>
          </w:tcPr>
          <w:p w14:paraId="329AC686">
            <w:pPr>
              <w:spacing w:line="240" w:lineRule="auto"/>
              <w:ind w:firstLine="0" w:firstLineChars="0"/>
              <w:jc w:val="center"/>
              <w:rPr>
                <w:sz w:val="18"/>
              </w:rPr>
            </w:pPr>
            <w:r>
              <w:rPr>
                <w:sz w:val="18"/>
              </w:rPr>
              <w:t>审计费用</w:t>
            </w:r>
          </w:p>
        </w:tc>
        <w:tc>
          <w:tcPr>
            <w:tcW w:w="387" w:type="pct"/>
            <w:shd w:val="clear" w:color="auto" w:fill="auto"/>
            <w:vAlign w:val="center"/>
          </w:tcPr>
          <w:p w14:paraId="7C59A33D">
            <w:pPr>
              <w:spacing w:line="240" w:lineRule="auto"/>
              <w:ind w:firstLine="0" w:firstLineChars="0"/>
              <w:jc w:val="center"/>
              <w:rPr>
                <w:sz w:val="18"/>
              </w:rPr>
            </w:pPr>
            <w:r>
              <w:rPr>
                <w:sz w:val="18"/>
              </w:rPr>
              <w:t>15</w:t>
            </w:r>
          </w:p>
        </w:tc>
        <w:tc>
          <w:tcPr>
            <w:tcW w:w="3361" w:type="pct"/>
            <w:shd w:val="clear" w:color="auto" w:fill="auto"/>
            <w:vAlign w:val="center"/>
          </w:tcPr>
          <w:p w14:paraId="69B9C282">
            <w:pPr>
              <w:spacing w:line="240" w:lineRule="auto"/>
              <w:ind w:firstLine="0" w:firstLineChars="0"/>
              <w:rPr>
                <w:sz w:val="18"/>
              </w:rPr>
            </w:pPr>
          </w:p>
        </w:tc>
        <w:tc>
          <w:tcPr>
            <w:tcW w:w="374" w:type="pct"/>
            <w:vAlign w:val="center"/>
          </w:tcPr>
          <w:p w14:paraId="4E0945F4">
            <w:pPr>
              <w:spacing w:line="240" w:lineRule="auto"/>
              <w:ind w:firstLine="0" w:firstLineChars="0"/>
              <w:rPr>
                <w:sz w:val="18"/>
              </w:rPr>
            </w:pPr>
          </w:p>
        </w:tc>
      </w:tr>
      <w:tr w14:paraId="1CFB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shd w:val="clear" w:color="auto" w:fill="auto"/>
            <w:vAlign w:val="center"/>
          </w:tcPr>
          <w:p w14:paraId="4C02B323">
            <w:pPr>
              <w:spacing w:line="240" w:lineRule="auto"/>
              <w:ind w:firstLine="0" w:firstLineChars="0"/>
              <w:jc w:val="center"/>
              <w:rPr>
                <w:sz w:val="18"/>
              </w:rPr>
            </w:pPr>
            <w:r>
              <w:rPr>
                <w:sz w:val="18"/>
              </w:rPr>
              <w:t>1</w:t>
            </w:r>
          </w:p>
        </w:tc>
        <w:tc>
          <w:tcPr>
            <w:tcW w:w="511" w:type="pct"/>
            <w:shd w:val="clear" w:color="auto" w:fill="auto"/>
            <w:vAlign w:val="center"/>
          </w:tcPr>
          <w:p w14:paraId="4703B848">
            <w:pPr>
              <w:spacing w:line="240" w:lineRule="auto"/>
              <w:ind w:firstLine="0" w:firstLineChars="0"/>
              <w:jc w:val="center"/>
              <w:rPr>
                <w:sz w:val="18"/>
              </w:rPr>
            </w:pPr>
            <w:r>
              <w:rPr>
                <w:sz w:val="18"/>
              </w:rPr>
              <w:t>投标报价</w:t>
            </w:r>
          </w:p>
        </w:tc>
        <w:tc>
          <w:tcPr>
            <w:tcW w:w="387" w:type="pct"/>
            <w:shd w:val="clear" w:color="auto" w:fill="auto"/>
            <w:vAlign w:val="center"/>
          </w:tcPr>
          <w:p w14:paraId="087559E9">
            <w:pPr>
              <w:spacing w:line="240" w:lineRule="auto"/>
              <w:ind w:firstLine="0" w:firstLineChars="0"/>
              <w:jc w:val="center"/>
              <w:rPr>
                <w:sz w:val="18"/>
              </w:rPr>
            </w:pPr>
            <w:r>
              <w:rPr>
                <w:sz w:val="18"/>
              </w:rPr>
              <w:t>15</w:t>
            </w:r>
          </w:p>
        </w:tc>
        <w:tc>
          <w:tcPr>
            <w:tcW w:w="3361" w:type="pct"/>
            <w:shd w:val="clear" w:color="auto" w:fill="auto"/>
            <w:vAlign w:val="center"/>
          </w:tcPr>
          <w:p w14:paraId="41B3A149">
            <w:pPr>
              <w:spacing w:line="240" w:lineRule="auto"/>
              <w:ind w:firstLine="0" w:firstLineChars="0"/>
              <w:rPr>
                <w:sz w:val="18"/>
              </w:rPr>
            </w:pPr>
            <w:r>
              <w:rPr>
                <w:rFonts w:hint="eastAsia"/>
                <w:sz w:val="18"/>
              </w:rPr>
              <w:t>1</w:t>
            </w:r>
            <w:r>
              <w:rPr>
                <w:sz w:val="18"/>
              </w:rPr>
              <w:t>.</w:t>
            </w:r>
            <w:r>
              <w:rPr>
                <w:rFonts w:hint="eastAsia"/>
                <w:sz w:val="18"/>
              </w:rPr>
              <w:t>审计费用报价得分</w:t>
            </w:r>
            <w:r>
              <w:rPr>
                <w:sz w:val="18"/>
              </w:rPr>
              <w:t>=（1-∣选聘基准价-审计费用报价∣/选聘基准价）×审计费用报价要素所占权重分值</w:t>
            </w:r>
          </w:p>
          <w:p w14:paraId="7268B753">
            <w:pPr>
              <w:spacing w:line="240" w:lineRule="auto"/>
              <w:ind w:firstLine="0" w:firstLineChars="0"/>
              <w:rPr>
                <w:sz w:val="18"/>
              </w:rPr>
            </w:pPr>
            <w:r>
              <w:rPr>
                <w:rFonts w:hint="eastAsia"/>
                <w:sz w:val="18"/>
              </w:rPr>
              <w:t>2</w:t>
            </w:r>
            <w:r>
              <w:rPr>
                <w:sz w:val="18"/>
              </w:rPr>
              <w:t>.</w:t>
            </w:r>
            <w:r>
              <w:rPr>
                <w:rFonts w:hint="eastAsia"/>
                <w:sz w:val="18"/>
              </w:rPr>
              <w:t>满足选聘文件要求</w:t>
            </w:r>
            <w:r>
              <w:rPr>
                <w:rFonts w:hint="eastAsia"/>
                <w:sz w:val="18"/>
                <w:lang w:val="en-US" w:eastAsia="zh-CN"/>
              </w:rPr>
              <w:t>的</w:t>
            </w:r>
            <w:r>
              <w:rPr>
                <w:rFonts w:hint="eastAsia"/>
                <w:sz w:val="18"/>
              </w:rPr>
              <w:t>所有会计师事务所审计费用报价</w:t>
            </w:r>
            <w:r>
              <w:rPr>
                <w:rFonts w:hint="eastAsia"/>
                <w:sz w:val="18"/>
                <w:lang w:val="en-US" w:eastAsia="zh-CN"/>
              </w:rPr>
              <w:t>的</w:t>
            </w:r>
            <w:r>
              <w:rPr>
                <w:rFonts w:hint="eastAsia"/>
                <w:sz w:val="18"/>
              </w:rPr>
              <w:t>平均值作为选聘基准价</w:t>
            </w:r>
            <w:r>
              <w:rPr>
                <w:sz w:val="18"/>
              </w:rPr>
              <w:t>。</w:t>
            </w:r>
          </w:p>
        </w:tc>
        <w:tc>
          <w:tcPr>
            <w:tcW w:w="374" w:type="pct"/>
            <w:vAlign w:val="center"/>
          </w:tcPr>
          <w:p w14:paraId="001B87DE">
            <w:pPr>
              <w:spacing w:line="240" w:lineRule="auto"/>
              <w:ind w:firstLine="0" w:firstLineChars="0"/>
              <w:rPr>
                <w:sz w:val="18"/>
              </w:rPr>
            </w:pPr>
          </w:p>
        </w:tc>
      </w:tr>
      <w:tr w14:paraId="570D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shd w:val="clear" w:color="auto" w:fill="auto"/>
            <w:vAlign w:val="center"/>
          </w:tcPr>
          <w:p w14:paraId="1CB490F4">
            <w:pPr>
              <w:spacing w:line="240" w:lineRule="auto"/>
              <w:ind w:firstLine="0" w:firstLineChars="0"/>
              <w:jc w:val="center"/>
              <w:rPr>
                <w:sz w:val="18"/>
              </w:rPr>
            </w:pPr>
            <w:r>
              <w:rPr>
                <w:sz w:val="18"/>
              </w:rPr>
              <w:t>四</w:t>
            </w:r>
          </w:p>
        </w:tc>
        <w:tc>
          <w:tcPr>
            <w:tcW w:w="511" w:type="pct"/>
            <w:shd w:val="clear" w:color="auto" w:fill="auto"/>
            <w:vAlign w:val="center"/>
          </w:tcPr>
          <w:p w14:paraId="46200BA8">
            <w:pPr>
              <w:spacing w:line="240" w:lineRule="auto"/>
              <w:ind w:firstLine="0" w:firstLineChars="0"/>
              <w:jc w:val="center"/>
              <w:rPr>
                <w:sz w:val="18"/>
              </w:rPr>
            </w:pPr>
            <w:r>
              <w:rPr>
                <w:sz w:val="18"/>
              </w:rPr>
              <w:t>总得分</w:t>
            </w:r>
          </w:p>
        </w:tc>
        <w:tc>
          <w:tcPr>
            <w:tcW w:w="387" w:type="pct"/>
            <w:shd w:val="clear" w:color="auto" w:fill="auto"/>
            <w:vAlign w:val="center"/>
          </w:tcPr>
          <w:p w14:paraId="11DF8A35">
            <w:pPr>
              <w:spacing w:line="240" w:lineRule="auto"/>
              <w:ind w:firstLine="0" w:firstLineChars="0"/>
              <w:jc w:val="center"/>
              <w:rPr>
                <w:sz w:val="18"/>
              </w:rPr>
            </w:pPr>
            <w:r>
              <w:rPr>
                <w:sz w:val="18"/>
              </w:rPr>
              <w:t>100</w:t>
            </w:r>
          </w:p>
        </w:tc>
        <w:tc>
          <w:tcPr>
            <w:tcW w:w="3361" w:type="pct"/>
            <w:shd w:val="clear" w:color="auto" w:fill="auto"/>
            <w:vAlign w:val="center"/>
          </w:tcPr>
          <w:p w14:paraId="62E0CD50">
            <w:pPr>
              <w:spacing w:line="240" w:lineRule="auto"/>
              <w:ind w:firstLine="0" w:firstLineChars="0"/>
              <w:rPr>
                <w:sz w:val="18"/>
              </w:rPr>
            </w:pPr>
          </w:p>
        </w:tc>
        <w:tc>
          <w:tcPr>
            <w:tcW w:w="374" w:type="pct"/>
            <w:vAlign w:val="center"/>
          </w:tcPr>
          <w:p w14:paraId="1F0B549E">
            <w:pPr>
              <w:spacing w:line="240" w:lineRule="auto"/>
              <w:ind w:firstLine="0" w:firstLineChars="0"/>
              <w:rPr>
                <w:sz w:val="18"/>
              </w:rPr>
            </w:pPr>
          </w:p>
        </w:tc>
      </w:tr>
    </w:tbl>
    <w:p w14:paraId="2BC9AEE9">
      <w:pPr>
        <w:keepNext w:val="0"/>
        <w:keepLines w:val="0"/>
        <w:pageBreakBefore w:val="0"/>
        <w:widowControl w:val="0"/>
        <w:kinsoku/>
        <w:wordWrap/>
        <w:overflowPunct/>
        <w:topLinePunct w:val="0"/>
        <w:autoSpaceDE/>
        <w:autoSpaceDN/>
        <w:bidi w:val="0"/>
        <w:adjustRightInd w:val="0"/>
        <w:snapToGrid w:val="0"/>
        <w:spacing w:before="157" w:beforeLines="50"/>
        <w:textAlignment w:val="auto"/>
      </w:pPr>
      <w:r>
        <w:rPr>
          <w:rFonts w:hint="eastAsia"/>
        </w:rPr>
        <w:t>公司公告相关信息：（为各家</w:t>
      </w:r>
      <w:r>
        <w:rPr>
          <w:rFonts w:hint="eastAsia"/>
          <w:lang w:val="en-US" w:eastAsia="zh-CN"/>
        </w:rPr>
        <w:t>潜在投标</w:t>
      </w:r>
      <w:r>
        <w:rPr>
          <w:rFonts w:hint="eastAsia"/>
        </w:rPr>
        <w:t>审计机构提供以下信息，提供的信息均可从公司历年公告的资料中查询）</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3855"/>
      </w:tblGrid>
      <w:tr w14:paraId="5A81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0" w:type="pct"/>
            <w:vAlign w:val="bottom"/>
          </w:tcPr>
          <w:p w14:paraId="3238E278">
            <w:pPr>
              <w:spacing w:line="240" w:lineRule="auto"/>
              <w:ind w:firstLine="0" w:firstLineChars="0"/>
              <w:jc w:val="center"/>
            </w:pPr>
            <w:r>
              <w:rPr>
                <w:rFonts w:hint="eastAsia"/>
              </w:rPr>
              <w:t>服务项目</w:t>
            </w:r>
          </w:p>
        </w:tc>
        <w:tc>
          <w:tcPr>
            <w:tcW w:w="2260" w:type="pct"/>
            <w:vAlign w:val="bottom"/>
          </w:tcPr>
          <w:p w14:paraId="0AC26E73">
            <w:pPr>
              <w:spacing w:line="240" w:lineRule="auto"/>
              <w:ind w:firstLine="0" w:firstLineChars="0"/>
              <w:jc w:val="center"/>
            </w:pPr>
            <w:r>
              <w:t>审计费用</w:t>
            </w:r>
          </w:p>
        </w:tc>
      </w:tr>
      <w:tr w14:paraId="4A3F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0" w:type="pct"/>
            <w:vAlign w:val="center"/>
          </w:tcPr>
          <w:p w14:paraId="3FEB4F2F">
            <w:pPr>
              <w:spacing w:line="240" w:lineRule="auto"/>
              <w:ind w:firstLine="0" w:firstLineChars="0"/>
              <w:jc w:val="center"/>
            </w:pPr>
            <w:r>
              <w:t>202</w:t>
            </w:r>
            <w:r>
              <w:rPr>
                <w:rFonts w:hint="eastAsia"/>
                <w:lang w:val="en-US" w:eastAsia="zh-CN"/>
              </w:rPr>
              <w:t>5</w:t>
            </w:r>
            <w:r>
              <w:t>年度公司年报审计</w:t>
            </w:r>
          </w:p>
        </w:tc>
        <w:tc>
          <w:tcPr>
            <w:tcW w:w="2260" w:type="pct"/>
            <w:vAlign w:val="center"/>
          </w:tcPr>
          <w:p w14:paraId="02E9F58A">
            <w:pPr>
              <w:spacing w:line="240" w:lineRule="auto"/>
              <w:ind w:firstLine="0" w:firstLineChars="0"/>
              <w:jc w:val="center"/>
            </w:pPr>
            <w:r>
              <w:rPr>
                <w:rFonts w:hint="eastAsia"/>
              </w:rPr>
              <w:t>含税价</w:t>
            </w:r>
            <w:r>
              <w:rPr>
                <w:rFonts w:hint="eastAsia"/>
                <w:lang w:val="en-US" w:eastAsia="zh-CN"/>
              </w:rPr>
              <w:t>54</w:t>
            </w:r>
            <w:r>
              <w:t>万元</w:t>
            </w:r>
          </w:p>
        </w:tc>
      </w:tr>
      <w:tr w14:paraId="6AB5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0" w:type="pct"/>
            <w:vAlign w:val="center"/>
          </w:tcPr>
          <w:p w14:paraId="50332CB6">
            <w:pPr>
              <w:spacing w:line="240" w:lineRule="auto"/>
              <w:ind w:firstLine="0" w:firstLineChars="0"/>
              <w:jc w:val="center"/>
            </w:pPr>
            <w:r>
              <w:t>202</w:t>
            </w:r>
            <w:r>
              <w:rPr>
                <w:rFonts w:hint="eastAsia"/>
                <w:lang w:val="en-US" w:eastAsia="zh-CN"/>
              </w:rPr>
              <w:t>5</w:t>
            </w:r>
            <w:r>
              <w:t>年度</w:t>
            </w:r>
            <w:r>
              <w:rPr>
                <w:rFonts w:hint="eastAsia"/>
                <w:lang w:val="en-US" w:eastAsia="zh-CN"/>
              </w:rPr>
              <w:t>内部控制</w:t>
            </w:r>
            <w:r>
              <w:t>审计</w:t>
            </w:r>
          </w:p>
        </w:tc>
        <w:tc>
          <w:tcPr>
            <w:tcW w:w="2260" w:type="pct"/>
            <w:vAlign w:val="center"/>
          </w:tcPr>
          <w:p w14:paraId="2976591B">
            <w:pPr>
              <w:spacing w:line="240" w:lineRule="auto"/>
              <w:ind w:firstLine="0" w:firstLineChars="0"/>
              <w:jc w:val="center"/>
            </w:pPr>
            <w:r>
              <w:rPr>
                <w:rFonts w:hint="eastAsia"/>
              </w:rPr>
              <w:t>含税价</w:t>
            </w:r>
            <w:r>
              <w:rPr>
                <w:rFonts w:hint="eastAsia"/>
                <w:lang w:val="en-US" w:eastAsia="zh-CN"/>
              </w:rPr>
              <w:t>16</w:t>
            </w:r>
            <w:r>
              <w:t>万元</w:t>
            </w:r>
          </w:p>
        </w:tc>
      </w:tr>
    </w:tbl>
    <w:p w14:paraId="7014C8E4">
      <w:pPr>
        <w:ind w:left="0" w:leftChars="0" w:firstLine="0" w:firstLineChars="0"/>
      </w:pPr>
    </w:p>
    <w:p w14:paraId="000FD85F">
      <w:r>
        <w:rPr>
          <w:rFonts w:hint="eastAsia"/>
        </w:rPr>
        <w:t>投标方如需了解公司（包括各子公司）资产状况，可从上交所网站公司已公告资料中查阅，以下</w:t>
      </w:r>
      <w:r>
        <w:rPr>
          <w:rFonts w:hint="eastAsia"/>
          <w:lang w:val="en-US" w:eastAsia="zh-CN"/>
        </w:rPr>
        <w:t>为</w:t>
      </w:r>
      <w:r>
        <w:rPr>
          <w:rFonts w:hint="eastAsia"/>
        </w:rPr>
        <w:t>公司合并会计报表</w:t>
      </w:r>
      <w:r>
        <w:t>202</w:t>
      </w:r>
      <w:r>
        <w:rPr>
          <w:rFonts w:hint="eastAsia"/>
          <w:lang w:val="en-US" w:eastAsia="zh-CN"/>
        </w:rPr>
        <w:t>5</w:t>
      </w:r>
      <w:r>
        <w:t>年末总资产情况：</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5"/>
        <w:gridCol w:w="1438"/>
        <w:gridCol w:w="1941"/>
        <w:gridCol w:w="1784"/>
      </w:tblGrid>
      <w:tr w14:paraId="0422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3" w:type="pct"/>
            <w:vAlign w:val="center"/>
          </w:tcPr>
          <w:p w14:paraId="1A910FD2">
            <w:pPr>
              <w:spacing w:line="240" w:lineRule="auto"/>
              <w:ind w:firstLine="0" w:firstLineChars="0"/>
              <w:jc w:val="center"/>
            </w:pPr>
            <w:r>
              <w:rPr>
                <w:rFonts w:hint="eastAsia"/>
              </w:rPr>
              <w:t>单位名称</w:t>
            </w:r>
          </w:p>
        </w:tc>
        <w:tc>
          <w:tcPr>
            <w:tcW w:w="843" w:type="pct"/>
            <w:vAlign w:val="center"/>
          </w:tcPr>
          <w:p w14:paraId="6306F757">
            <w:pPr>
              <w:spacing w:line="240" w:lineRule="auto"/>
              <w:ind w:firstLine="0" w:firstLineChars="0"/>
              <w:jc w:val="center"/>
            </w:pPr>
            <w:r>
              <w:rPr>
                <w:rFonts w:hint="eastAsia"/>
              </w:rPr>
              <w:t>公司注册地</w:t>
            </w:r>
          </w:p>
        </w:tc>
        <w:tc>
          <w:tcPr>
            <w:tcW w:w="1138" w:type="pct"/>
            <w:vAlign w:val="center"/>
          </w:tcPr>
          <w:p w14:paraId="1A257AC1">
            <w:pPr>
              <w:spacing w:line="240" w:lineRule="auto"/>
              <w:ind w:firstLine="0" w:firstLineChars="0"/>
              <w:jc w:val="center"/>
            </w:pPr>
            <w:r>
              <w:rPr>
                <w:rFonts w:hint="eastAsia"/>
              </w:rPr>
              <w:t>资产总额（亿元）</w:t>
            </w:r>
          </w:p>
        </w:tc>
        <w:tc>
          <w:tcPr>
            <w:tcW w:w="1046" w:type="pct"/>
            <w:vAlign w:val="center"/>
          </w:tcPr>
          <w:p w14:paraId="4F73AB17">
            <w:pPr>
              <w:spacing w:line="240" w:lineRule="auto"/>
              <w:ind w:firstLine="0" w:firstLineChars="0"/>
              <w:jc w:val="center"/>
            </w:pPr>
            <w:r>
              <w:rPr>
                <w:rFonts w:hint="eastAsia"/>
              </w:rPr>
              <w:t>备注</w:t>
            </w:r>
          </w:p>
        </w:tc>
      </w:tr>
      <w:tr w14:paraId="5FE1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3" w:type="pct"/>
            <w:vAlign w:val="center"/>
          </w:tcPr>
          <w:p w14:paraId="7975AE4D">
            <w:pPr>
              <w:spacing w:line="240" w:lineRule="auto"/>
              <w:ind w:firstLine="0" w:firstLineChars="0"/>
              <w:jc w:val="center"/>
            </w:pPr>
            <w:r>
              <w:rPr>
                <w:rFonts w:hint="eastAsia"/>
              </w:rPr>
              <w:t>华丰动力股份有限公司</w:t>
            </w:r>
          </w:p>
        </w:tc>
        <w:tc>
          <w:tcPr>
            <w:tcW w:w="843" w:type="pct"/>
            <w:vAlign w:val="center"/>
          </w:tcPr>
          <w:p w14:paraId="5F577859">
            <w:pPr>
              <w:spacing w:line="240" w:lineRule="auto"/>
              <w:ind w:firstLine="0" w:firstLineChars="0"/>
              <w:jc w:val="center"/>
            </w:pPr>
            <w:r>
              <w:rPr>
                <w:rFonts w:hint="eastAsia"/>
              </w:rPr>
              <w:t>潍坊市</w:t>
            </w:r>
          </w:p>
        </w:tc>
        <w:tc>
          <w:tcPr>
            <w:tcW w:w="1138" w:type="pct"/>
            <w:vAlign w:val="center"/>
          </w:tcPr>
          <w:p w14:paraId="3A4EB06F">
            <w:pPr>
              <w:spacing w:line="240" w:lineRule="auto"/>
              <w:ind w:firstLine="0" w:firstLineChars="0"/>
              <w:jc w:val="center"/>
              <w:rPr>
                <w:rFonts w:hint="default" w:eastAsia="宋体"/>
                <w:lang w:val="en-US" w:eastAsia="zh-CN"/>
              </w:rPr>
            </w:pPr>
            <w:r>
              <w:rPr>
                <w:rFonts w:hint="eastAsia"/>
                <w:lang w:val="en-US" w:eastAsia="zh-CN"/>
              </w:rPr>
              <w:t>22.20</w:t>
            </w:r>
          </w:p>
        </w:tc>
        <w:tc>
          <w:tcPr>
            <w:tcW w:w="1046" w:type="pct"/>
            <w:vAlign w:val="center"/>
          </w:tcPr>
          <w:p w14:paraId="71935B71">
            <w:pPr>
              <w:spacing w:line="240" w:lineRule="auto"/>
              <w:ind w:firstLine="0" w:firstLineChars="0"/>
              <w:jc w:val="center"/>
            </w:pPr>
            <w:r>
              <w:rPr>
                <w:rFonts w:hint="eastAsia"/>
              </w:rPr>
              <w:t>合并会计报表</w:t>
            </w:r>
          </w:p>
        </w:tc>
      </w:tr>
    </w:tbl>
    <w:p w14:paraId="1F2CF907"/>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61731"/>
      <w:docPartObj>
        <w:docPartGallery w:val="autotext"/>
      </w:docPartObj>
    </w:sdtPr>
    <w:sdtContent>
      <w:p w14:paraId="5192FEFB">
        <w:pPr>
          <w:pStyle w:val="13"/>
          <w:ind w:firstLine="360"/>
          <w:jc w:val="center"/>
        </w:pPr>
        <w:r>
          <w:rPr>
            <w:lang w:val="zh-CN"/>
          </w:rPr>
          <w:fldChar w:fldCharType="begin"/>
        </w:r>
        <w:r>
          <w:rPr>
            <w:lang w:val="zh-CN"/>
          </w:rPr>
          <w:instrText xml:space="preserve">PAGE   \* MERGEFORMAT</w:instrText>
        </w:r>
        <w:r>
          <w:rPr>
            <w:lang w:val="zh-CN"/>
          </w:rPr>
          <w:fldChar w:fldCharType="separate"/>
        </w:r>
        <w:r>
          <w:rPr>
            <w:lang w:val="zh-CN"/>
          </w:rPr>
          <w:t>9</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11B03">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56BC6">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7B78">
    <w:pPr>
      <w:pStyle w:val="14"/>
      <w:tabs>
        <w:tab w:val="left" w:pos="3048"/>
        <w:tab w:val="center" w:pos="4336"/>
      </w:tabs>
      <w:spacing w:line="240" w:lineRule="auto"/>
      <w:ind w:firstLine="0" w:firstLineChars="0"/>
      <w:jc w:val="left"/>
    </w:pPr>
    <w:r>
      <w:rPr>
        <w:rFonts w:hint="eastAsia"/>
      </w:rPr>
      <w:t>华丰动力股份有限公司招标文件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6E14">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99D91">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A8"/>
    <w:rsid w:val="000067F5"/>
    <w:rsid w:val="00013ACC"/>
    <w:rsid w:val="000140B9"/>
    <w:rsid w:val="00014D7C"/>
    <w:rsid w:val="00015E7E"/>
    <w:rsid w:val="000249C1"/>
    <w:rsid w:val="00027B2E"/>
    <w:rsid w:val="00032B40"/>
    <w:rsid w:val="00044ECE"/>
    <w:rsid w:val="00046680"/>
    <w:rsid w:val="00046F98"/>
    <w:rsid w:val="00051773"/>
    <w:rsid w:val="00054BE2"/>
    <w:rsid w:val="00057BC9"/>
    <w:rsid w:val="000652CC"/>
    <w:rsid w:val="0007247B"/>
    <w:rsid w:val="000757BD"/>
    <w:rsid w:val="00084CF7"/>
    <w:rsid w:val="00085950"/>
    <w:rsid w:val="000A4DA5"/>
    <w:rsid w:val="000A7952"/>
    <w:rsid w:val="000A7D05"/>
    <w:rsid w:val="000B331A"/>
    <w:rsid w:val="000B6C84"/>
    <w:rsid w:val="000B7B5E"/>
    <w:rsid w:val="000D414E"/>
    <w:rsid w:val="000E0A1F"/>
    <w:rsid w:val="000E19B0"/>
    <w:rsid w:val="000F7A26"/>
    <w:rsid w:val="00104CB4"/>
    <w:rsid w:val="00105A3D"/>
    <w:rsid w:val="001112A5"/>
    <w:rsid w:val="00115B5B"/>
    <w:rsid w:val="0011748A"/>
    <w:rsid w:val="001204C6"/>
    <w:rsid w:val="001364AA"/>
    <w:rsid w:val="00140E3F"/>
    <w:rsid w:val="001564F8"/>
    <w:rsid w:val="001656A8"/>
    <w:rsid w:val="001676F2"/>
    <w:rsid w:val="00176B31"/>
    <w:rsid w:val="00183125"/>
    <w:rsid w:val="0019688D"/>
    <w:rsid w:val="001A2910"/>
    <w:rsid w:val="001A5F4F"/>
    <w:rsid w:val="001B7740"/>
    <w:rsid w:val="001C02DE"/>
    <w:rsid w:val="001E06A0"/>
    <w:rsid w:val="001E6218"/>
    <w:rsid w:val="001F39F8"/>
    <w:rsid w:val="001F3D17"/>
    <w:rsid w:val="0020725F"/>
    <w:rsid w:val="00211DAF"/>
    <w:rsid w:val="002203D0"/>
    <w:rsid w:val="002210C2"/>
    <w:rsid w:val="00224EC7"/>
    <w:rsid w:val="00225B20"/>
    <w:rsid w:val="00230693"/>
    <w:rsid w:val="0024028A"/>
    <w:rsid w:val="00242343"/>
    <w:rsid w:val="00246EBA"/>
    <w:rsid w:val="00254C8D"/>
    <w:rsid w:val="00257CA8"/>
    <w:rsid w:val="00265C71"/>
    <w:rsid w:val="00266EBE"/>
    <w:rsid w:val="002677AE"/>
    <w:rsid w:val="002716AC"/>
    <w:rsid w:val="002831F2"/>
    <w:rsid w:val="00283D7C"/>
    <w:rsid w:val="00284F1C"/>
    <w:rsid w:val="00287585"/>
    <w:rsid w:val="002A3630"/>
    <w:rsid w:val="002A3728"/>
    <w:rsid w:val="002A45B1"/>
    <w:rsid w:val="002B16F1"/>
    <w:rsid w:val="002B46B5"/>
    <w:rsid w:val="002C3572"/>
    <w:rsid w:val="002D02A3"/>
    <w:rsid w:val="002D16CD"/>
    <w:rsid w:val="002D2C3B"/>
    <w:rsid w:val="002D3165"/>
    <w:rsid w:val="002D5F06"/>
    <w:rsid w:val="002D6975"/>
    <w:rsid w:val="002D6FA2"/>
    <w:rsid w:val="002E0ADD"/>
    <w:rsid w:val="002E240F"/>
    <w:rsid w:val="002F1D75"/>
    <w:rsid w:val="002F25A2"/>
    <w:rsid w:val="002F7B3C"/>
    <w:rsid w:val="00304092"/>
    <w:rsid w:val="0033479E"/>
    <w:rsid w:val="00336772"/>
    <w:rsid w:val="00344261"/>
    <w:rsid w:val="00345909"/>
    <w:rsid w:val="00362951"/>
    <w:rsid w:val="00367331"/>
    <w:rsid w:val="00372D22"/>
    <w:rsid w:val="00373065"/>
    <w:rsid w:val="0038034E"/>
    <w:rsid w:val="00384FB2"/>
    <w:rsid w:val="00386CB7"/>
    <w:rsid w:val="00387006"/>
    <w:rsid w:val="0039068F"/>
    <w:rsid w:val="00391028"/>
    <w:rsid w:val="003A104B"/>
    <w:rsid w:val="003A26A2"/>
    <w:rsid w:val="003B29F2"/>
    <w:rsid w:val="003C18CB"/>
    <w:rsid w:val="003D0E28"/>
    <w:rsid w:val="003D296E"/>
    <w:rsid w:val="003D4F6C"/>
    <w:rsid w:val="003F0302"/>
    <w:rsid w:val="003F3719"/>
    <w:rsid w:val="003F699E"/>
    <w:rsid w:val="004003A2"/>
    <w:rsid w:val="004031B1"/>
    <w:rsid w:val="00403740"/>
    <w:rsid w:val="00407615"/>
    <w:rsid w:val="004134CD"/>
    <w:rsid w:val="00417B1F"/>
    <w:rsid w:val="004217C4"/>
    <w:rsid w:val="00421EF2"/>
    <w:rsid w:val="00423D6C"/>
    <w:rsid w:val="004252EC"/>
    <w:rsid w:val="00431015"/>
    <w:rsid w:val="00431CB5"/>
    <w:rsid w:val="00434472"/>
    <w:rsid w:val="00436173"/>
    <w:rsid w:val="00436474"/>
    <w:rsid w:val="0043793E"/>
    <w:rsid w:val="00445FD8"/>
    <w:rsid w:val="004476E5"/>
    <w:rsid w:val="00462FF9"/>
    <w:rsid w:val="00466917"/>
    <w:rsid w:val="004676B0"/>
    <w:rsid w:val="00475015"/>
    <w:rsid w:val="0048207D"/>
    <w:rsid w:val="004A53E0"/>
    <w:rsid w:val="004B0A8F"/>
    <w:rsid w:val="004B10EE"/>
    <w:rsid w:val="004B12B5"/>
    <w:rsid w:val="004C704D"/>
    <w:rsid w:val="004D16D2"/>
    <w:rsid w:val="004D1747"/>
    <w:rsid w:val="004D1A61"/>
    <w:rsid w:val="004D527E"/>
    <w:rsid w:val="004F10EE"/>
    <w:rsid w:val="00504D60"/>
    <w:rsid w:val="00505025"/>
    <w:rsid w:val="005109BF"/>
    <w:rsid w:val="005227D8"/>
    <w:rsid w:val="00537D93"/>
    <w:rsid w:val="00540E9B"/>
    <w:rsid w:val="005421E1"/>
    <w:rsid w:val="005422FC"/>
    <w:rsid w:val="00542DD5"/>
    <w:rsid w:val="00542E3E"/>
    <w:rsid w:val="00543216"/>
    <w:rsid w:val="00545303"/>
    <w:rsid w:val="00546E9E"/>
    <w:rsid w:val="005477D1"/>
    <w:rsid w:val="00552C97"/>
    <w:rsid w:val="00553C59"/>
    <w:rsid w:val="00556AF3"/>
    <w:rsid w:val="00563D3C"/>
    <w:rsid w:val="00570ED2"/>
    <w:rsid w:val="00572B60"/>
    <w:rsid w:val="00573B80"/>
    <w:rsid w:val="005747EF"/>
    <w:rsid w:val="00597BD0"/>
    <w:rsid w:val="005A62BB"/>
    <w:rsid w:val="005B23B4"/>
    <w:rsid w:val="005B3858"/>
    <w:rsid w:val="005C16D4"/>
    <w:rsid w:val="005C21F2"/>
    <w:rsid w:val="005C4384"/>
    <w:rsid w:val="005C76D3"/>
    <w:rsid w:val="005D13E2"/>
    <w:rsid w:val="005D4D06"/>
    <w:rsid w:val="005E177C"/>
    <w:rsid w:val="005E2870"/>
    <w:rsid w:val="005E2B0A"/>
    <w:rsid w:val="005E66E6"/>
    <w:rsid w:val="005F04C5"/>
    <w:rsid w:val="005F621E"/>
    <w:rsid w:val="005F6ADC"/>
    <w:rsid w:val="005F7DBE"/>
    <w:rsid w:val="00604366"/>
    <w:rsid w:val="006205F5"/>
    <w:rsid w:val="006351C1"/>
    <w:rsid w:val="0065239B"/>
    <w:rsid w:val="006562D5"/>
    <w:rsid w:val="0066215F"/>
    <w:rsid w:val="0066322A"/>
    <w:rsid w:val="006639EC"/>
    <w:rsid w:val="00664D50"/>
    <w:rsid w:val="00671975"/>
    <w:rsid w:val="00680471"/>
    <w:rsid w:val="006847EA"/>
    <w:rsid w:val="00687C93"/>
    <w:rsid w:val="006A6AAB"/>
    <w:rsid w:val="006B0AFD"/>
    <w:rsid w:val="006B18C7"/>
    <w:rsid w:val="006C04EB"/>
    <w:rsid w:val="006C785C"/>
    <w:rsid w:val="006C78D1"/>
    <w:rsid w:val="006D16AA"/>
    <w:rsid w:val="006E6945"/>
    <w:rsid w:val="00700E1D"/>
    <w:rsid w:val="00704CFE"/>
    <w:rsid w:val="00705470"/>
    <w:rsid w:val="00722D35"/>
    <w:rsid w:val="00724317"/>
    <w:rsid w:val="00724D6B"/>
    <w:rsid w:val="007259CB"/>
    <w:rsid w:val="00726795"/>
    <w:rsid w:val="00732051"/>
    <w:rsid w:val="0073512C"/>
    <w:rsid w:val="00736A45"/>
    <w:rsid w:val="007500C4"/>
    <w:rsid w:val="00766D5C"/>
    <w:rsid w:val="00774046"/>
    <w:rsid w:val="00774F4F"/>
    <w:rsid w:val="00783425"/>
    <w:rsid w:val="00784FA4"/>
    <w:rsid w:val="007856F5"/>
    <w:rsid w:val="007A053B"/>
    <w:rsid w:val="007A08DF"/>
    <w:rsid w:val="007B3D54"/>
    <w:rsid w:val="007B4AAD"/>
    <w:rsid w:val="007C102F"/>
    <w:rsid w:val="007C25B5"/>
    <w:rsid w:val="007C5FC8"/>
    <w:rsid w:val="007C7E46"/>
    <w:rsid w:val="007D21B3"/>
    <w:rsid w:val="007E34C8"/>
    <w:rsid w:val="008006AB"/>
    <w:rsid w:val="00806E68"/>
    <w:rsid w:val="00814CD7"/>
    <w:rsid w:val="00817ABA"/>
    <w:rsid w:val="00825068"/>
    <w:rsid w:val="008258B5"/>
    <w:rsid w:val="008304C1"/>
    <w:rsid w:val="00833F6B"/>
    <w:rsid w:val="00834E55"/>
    <w:rsid w:val="00847CA0"/>
    <w:rsid w:val="00852DB9"/>
    <w:rsid w:val="00852F32"/>
    <w:rsid w:val="00853539"/>
    <w:rsid w:val="008555CC"/>
    <w:rsid w:val="00863672"/>
    <w:rsid w:val="00876BE8"/>
    <w:rsid w:val="00882BF8"/>
    <w:rsid w:val="00886ED3"/>
    <w:rsid w:val="00887124"/>
    <w:rsid w:val="00890E36"/>
    <w:rsid w:val="008914BA"/>
    <w:rsid w:val="008945B5"/>
    <w:rsid w:val="008970C9"/>
    <w:rsid w:val="008A092F"/>
    <w:rsid w:val="008A213D"/>
    <w:rsid w:val="008A76AA"/>
    <w:rsid w:val="008B24B9"/>
    <w:rsid w:val="008D1F17"/>
    <w:rsid w:val="008E5B98"/>
    <w:rsid w:val="008F3A26"/>
    <w:rsid w:val="008F40C0"/>
    <w:rsid w:val="008F788F"/>
    <w:rsid w:val="0090232B"/>
    <w:rsid w:val="0090269F"/>
    <w:rsid w:val="00902EF9"/>
    <w:rsid w:val="00903794"/>
    <w:rsid w:val="00915D2D"/>
    <w:rsid w:val="009304EA"/>
    <w:rsid w:val="0093413F"/>
    <w:rsid w:val="00940B2F"/>
    <w:rsid w:val="0095582F"/>
    <w:rsid w:val="009622BD"/>
    <w:rsid w:val="009639DD"/>
    <w:rsid w:val="009710C3"/>
    <w:rsid w:val="00980FD6"/>
    <w:rsid w:val="0099078B"/>
    <w:rsid w:val="00995436"/>
    <w:rsid w:val="009D09C0"/>
    <w:rsid w:val="009D111D"/>
    <w:rsid w:val="009D1EC5"/>
    <w:rsid w:val="009D70E0"/>
    <w:rsid w:val="009E528A"/>
    <w:rsid w:val="009E5F96"/>
    <w:rsid w:val="009F240C"/>
    <w:rsid w:val="009F5FAD"/>
    <w:rsid w:val="00A0526D"/>
    <w:rsid w:val="00A17AC3"/>
    <w:rsid w:val="00A213ED"/>
    <w:rsid w:val="00A26DF0"/>
    <w:rsid w:val="00A30969"/>
    <w:rsid w:val="00A40FE5"/>
    <w:rsid w:val="00A44880"/>
    <w:rsid w:val="00A456FD"/>
    <w:rsid w:val="00A513F1"/>
    <w:rsid w:val="00A53002"/>
    <w:rsid w:val="00A53BB7"/>
    <w:rsid w:val="00A62F40"/>
    <w:rsid w:val="00A72599"/>
    <w:rsid w:val="00A72B18"/>
    <w:rsid w:val="00A80D0A"/>
    <w:rsid w:val="00A80F40"/>
    <w:rsid w:val="00A8110F"/>
    <w:rsid w:val="00A8128E"/>
    <w:rsid w:val="00A84036"/>
    <w:rsid w:val="00A85405"/>
    <w:rsid w:val="00A863D8"/>
    <w:rsid w:val="00A929A6"/>
    <w:rsid w:val="00AA1A2B"/>
    <w:rsid w:val="00AA5029"/>
    <w:rsid w:val="00AA7B62"/>
    <w:rsid w:val="00AB1FCB"/>
    <w:rsid w:val="00AB4D7A"/>
    <w:rsid w:val="00AC1034"/>
    <w:rsid w:val="00AD3C22"/>
    <w:rsid w:val="00AD54D8"/>
    <w:rsid w:val="00AD5A24"/>
    <w:rsid w:val="00AE4D91"/>
    <w:rsid w:val="00AE565D"/>
    <w:rsid w:val="00AF2D81"/>
    <w:rsid w:val="00AF504C"/>
    <w:rsid w:val="00AF7360"/>
    <w:rsid w:val="00AF7935"/>
    <w:rsid w:val="00B01F80"/>
    <w:rsid w:val="00B07747"/>
    <w:rsid w:val="00B1288E"/>
    <w:rsid w:val="00B149F2"/>
    <w:rsid w:val="00B160BB"/>
    <w:rsid w:val="00B21031"/>
    <w:rsid w:val="00B228D5"/>
    <w:rsid w:val="00B30232"/>
    <w:rsid w:val="00B31566"/>
    <w:rsid w:val="00B3217E"/>
    <w:rsid w:val="00B438F9"/>
    <w:rsid w:val="00B44541"/>
    <w:rsid w:val="00B5332F"/>
    <w:rsid w:val="00B72549"/>
    <w:rsid w:val="00B813D2"/>
    <w:rsid w:val="00BA49DA"/>
    <w:rsid w:val="00BB5948"/>
    <w:rsid w:val="00BB62CF"/>
    <w:rsid w:val="00BB7532"/>
    <w:rsid w:val="00BC10B3"/>
    <w:rsid w:val="00BE1E80"/>
    <w:rsid w:val="00BE3921"/>
    <w:rsid w:val="00C153C9"/>
    <w:rsid w:val="00C2298A"/>
    <w:rsid w:val="00C4552C"/>
    <w:rsid w:val="00C4583E"/>
    <w:rsid w:val="00C479D2"/>
    <w:rsid w:val="00C54EA7"/>
    <w:rsid w:val="00C61A97"/>
    <w:rsid w:val="00C6718A"/>
    <w:rsid w:val="00C6718F"/>
    <w:rsid w:val="00C705F9"/>
    <w:rsid w:val="00C74D9C"/>
    <w:rsid w:val="00C7727C"/>
    <w:rsid w:val="00C77CDC"/>
    <w:rsid w:val="00C84B29"/>
    <w:rsid w:val="00CB14CC"/>
    <w:rsid w:val="00CC1DEC"/>
    <w:rsid w:val="00CC2F81"/>
    <w:rsid w:val="00CC790F"/>
    <w:rsid w:val="00CD1644"/>
    <w:rsid w:val="00CE0137"/>
    <w:rsid w:val="00CF1542"/>
    <w:rsid w:val="00D03090"/>
    <w:rsid w:val="00D0456E"/>
    <w:rsid w:val="00D07080"/>
    <w:rsid w:val="00D173D4"/>
    <w:rsid w:val="00D17CD3"/>
    <w:rsid w:val="00D226E9"/>
    <w:rsid w:val="00D346B8"/>
    <w:rsid w:val="00D35A06"/>
    <w:rsid w:val="00D4271C"/>
    <w:rsid w:val="00D54398"/>
    <w:rsid w:val="00D568C2"/>
    <w:rsid w:val="00D56A29"/>
    <w:rsid w:val="00D6276E"/>
    <w:rsid w:val="00D77A2C"/>
    <w:rsid w:val="00D842FA"/>
    <w:rsid w:val="00D936E7"/>
    <w:rsid w:val="00D97761"/>
    <w:rsid w:val="00D977BA"/>
    <w:rsid w:val="00DA1C69"/>
    <w:rsid w:val="00DA5769"/>
    <w:rsid w:val="00DA5BBA"/>
    <w:rsid w:val="00DB092C"/>
    <w:rsid w:val="00DB4DDD"/>
    <w:rsid w:val="00DB54EE"/>
    <w:rsid w:val="00DD0380"/>
    <w:rsid w:val="00DD22A8"/>
    <w:rsid w:val="00DD4B32"/>
    <w:rsid w:val="00DE0455"/>
    <w:rsid w:val="00DE5B99"/>
    <w:rsid w:val="00DE718C"/>
    <w:rsid w:val="00DF00BC"/>
    <w:rsid w:val="00DF1B9C"/>
    <w:rsid w:val="00DF233E"/>
    <w:rsid w:val="00DF29FF"/>
    <w:rsid w:val="00DF3E25"/>
    <w:rsid w:val="00DF4CCE"/>
    <w:rsid w:val="00DF5870"/>
    <w:rsid w:val="00E02B56"/>
    <w:rsid w:val="00E04C7F"/>
    <w:rsid w:val="00E04E8F"/>
    <w:rsid w:val="00E06B7A"/>
    <w:rsid w:val="00E13554"/>
    <w:rsid w:val="00E20EE4"/>
    <w:rsid w:val="00E229E7"/>
    <w:rsid w:val="00E24482"/>
    <w:rsid w:val="00E24E49"/>
    <w:rsid w:val="00E25DCB"/>
    <w:rsid w:val="00E2621F"/>
    <w:rsid w:val="00E328FC"/>
    <w:rsid w:val="00E32BDD"/>
    <w:rsid w:val="00E34872"/>
    <w:rsid w:val="00E478C9"/>
    <w:rsid w:val="00E51461"/>
    <w:rsid w:val="00E52808"/>
    <w:rsid w:val="00E538D7"/>
    <w:rsid w:val="00E5428E"/>
    <w:rsid w:val="00E57972"/>
    <w:rsid w:val="00E6187D"/>
    <w:rsid w:val="00E62CD5"/>
    <w:rsid w:val="00E66617"/>
    <w:rsid w:val="00E67032"/>
    <w:rsid w:val="00E7199C"/>
    <w:rsid w:val="00E8012E"/>
    <w:rsid w:val="00E84F7E"/>
    <w:rsid w:val="00E92E38"/>
    <w:rsid w:val="00E9503A"/>
    <w:rsid w:val="00EA6680"/>
    <w:rsid w:val="00EB1119"/>
    <w:rsid w:val="00EB34C4"/>
    <w:rsid w:val="00EB386A"/>
    <w:rsid w:val="00EB41BA"/>
    <w:rsid w:val="00EB47D4"/>
    <w:rsid w:val="00EB7DB7"/>
    <w:rsid w:val="00EC0229"/>
    <w:rsid w:val="00EC1E0A"/>
    <w:rsid w:val="00EC30BB"/>
    <w:rsid w:val="00EC4649"/>
    <w:rsid w:val="00EC4E6C"/>
    <w:rsid w:val="00EC6A51"/>
    <w:rsid w:val="00EE28B0"/>
    <w:rsid w:val="00EE3871"/>
    <w:rsid w:val="00EE7493"/>
    <w:rsid w:val="00EF24F7"/>
    <w:rsid w:val="00F002E0"/>
    <w:rsid w:val="00F13A94"/>
    <w:rsid w:val="00F14983"/>
    <w:rsid w:val="00F16F73"/>
    <w:rsid w:val="00F203B2"/>
    <w:rsid w:val="00F20D2D"/>
    <w:rsid w:val="00F32684"/>
    <w:rsid w:val="00F352CE"/>
    <w:rsid w:val="00F376BB"/>
    <w:rsid w:val="00F44546"/>
    <w:rsid w:val="00F460B1"/>
    <w:rsid w:val="00F501E2"/>
    <w:rsid w:val="00F63820"/>
    <w:rsid w:val="00F704DE"/>
    <w:rsid w:val="00F902E6"/>
    <w:rsid w:val="00F92371"/>
    <w:rsid w:val="00F93E78"/>
    <w:rsid w:val="00FC40F4"/>
    <w:rsid w:val="00FC6036"/>
    <w:rsid w:val="00FC7EB3"/>
    <w:rsid w:val="00FD1F0A"/>
    <w:rsid w:val="00FF546D"/>
    <w:rsid w:val="00FF548A"/>
    <w:rsid w:val="00FF5540"/>
    <w:rsid w:val="0755716E"/>
    <w:rsid w:val="0D7F56B8"/>
    <w:rsid w:val="0FDC3304"/>
    <w:rsid w:val="11987B90"/>
    <w:rsid w:val="181E1118"/>
    <w:rsid w:val="19301CDF"/>
    <w:rsid w:val="1A2D743F"/>
    <w:rsid w:val="1C520946"/>
    <w:rsid w:val="1CF05071"/>
    <w:rsid w:val="1FF93EF0"/>
    <w:rsid w:val="21A47E8B"/>
    <w:rsid w:val="230B2E65"/>
    <w:rsid w:val="26B81545"/>
    <w:rsid w:val="31266377"/>
    <w:rsid w:val="34B72AE8"/>
    <w:rsid w:val="36154A5C"/>
    <w:rsid w:val="3AA71435"/>
    <w:rsid w:val="3DCC25D0"/>
    <w:rsid w:val="3F8A75CE"/>
    <w:rsid w:val="400F3B40"/>
    <w:rsid w:val="4781564B"/>
    <w:rsid w:val="535D3873"/>
    <w:rsid w:val="53B15CF3"/>
    <w:rsid w:val="5B301073"/>
    <w:rsid w:val="5F6518B4"/>
    <w:rsid w:val="60B56678"/>
    <w:rsid w:val="65D363B8"/>
    <w:rsid w:val="72063665"/>
    <w:rsid w:val="727567F0"/>
    <w:rsid w:val="781B4350"/>
    <w:rsid w:val="7BAD3E76"/>
    <w:rsid w:val="7F471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80" w:firstLineChars="200"/>
      <w:jc w:val="both"/>
    </w:pPr>
    <w:rPr>
      <w:rFonts w:ascii="宋体" w:hAnsi="宋体" w:eastAsia="宋体" w:cstheme="minorBidi"/>
      <w:kern w:val="2"/>
      <w:sz w:val="24"/>
      <w:szCs w:val="24"/>
      <w:lang w:val="en-US" w:eastAsia="zh-CN" w:bidi="ar-SA"/>
    </w:rPr>
  </w:style>
  <w:style w:type="paragraph" w:styleId="2">
    <w:name w:val="heading 1"/>
    <w:basedOn w:val="1"/>
    <w:next w:val="1"/>
    <w:link w:val="36"/>
    <w:qFormat/>
    <w:uiPriority w:val="9"/>
    <w:pPr>
      <w:keepNext/>
      <w:keepLines/>
      <w:spacing w:line="960" w:lineRule="auto"/>
      <w:jc w:val="center"/>
      <w:outlineLvl w:val="0"/>
    </w:pPr>
    <w:rPr>
      <w:rFonts w:ascii="黑体" w:hAnsi="黑体" w:eastAsia="黑体"/>
      <w:b/>
      <w:bCs/>
      <w:kern w:val="44"/>
      <w:sz w:val="32"/>
      <w:szCs w:val="32"/>
    </w:rPr>
  </w:style>
  <w:style w:type="paragraph" w:styleId="3">
    <w:name w:val="heading 2"/>
    <w:basedOn w:val="1"/>
    <w:next w:val="1"/>
    <w:link w:val="37"/>
    <w:unhideWhenUsed/>
    <w:qFormat/>
    <w:uiPriority w:val="9"/>
    <w:pPr>
      <w:keepNext/>
      <w:keepLines/>
      <w:spacing w:before="156" w:beforeLines="50" w:after="156" w:afterLines="50"/>
      <w:outlineLvl w:val="1"/>
    </w:pPr>
    <w:rPr>
      <w:rFonts w:ascii="黑体" w:hAnsi="黑体" w:eastAsia="黑体" w:cstheme="majorBidi"/>
      <w:bCs/>
      <w:sz w:val="28"/>
      <w:szCs w:val="28"/>
    </w:rPr>
  </w:style>
  <w:style w:type="paragraph" w:styleId="4">
    <w:name w:val="heading 3"/>
    <w:basedOn w:val="1"/>
    <w:next w:val="1"/>
    <w:link w:val="38"/>
    <w:unhideWhenUsed/>
    <w:qFormat/>
    <w:uiPriority w:val="9"/>
    <w:pPr>
      <w:keepNext/>
      <w:keepLines/>
      <w:spacing w:before="156" w:beforeLines="50" w:after="156" w:afterLines="50" w:line="240" w:lineRule="auto"/>
      <w:outlineLvl w:val="2"/>
    </w:pPr>
    <w:rPr>
      <w:rFonts w:ascii="黑体" w:hAnsi="黑体" w:eastAsia="黑体"/>
      <w:bCs/>
    </w:rPr>
  </w:style>
  <w:style w:type="paragraph" w:styleId="5">
    <w:name w:val="heading 4"/>
    <w:basedOn w:val="1"/>
    <w:next w:val="1"/>
    <w:link w:val="3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200"/>
      <w:jc w:val="left"/>
    </w:pPr>
    <w:rPr>
      <w:rFonts w:asciiTheme="minorHAnsi" w:eastAsiaTheme="minorHAnsi"/>
      <w:sz w:val="20"/>
      <w:szCs w:val="20"/>
    </w:rPr>
  </w:style>
  <w:style w:type="paragraph" w:styleId="7">
    <w:name w:val="annotation text"/>
    <w:basedOn w:val="1"/>
    <w:link w:val="32"/>
    <w:unhideWhenUsed/>
    <w:qFormat/>
    <w:uiPriority w:val="99"/>
    <w:pPr>
      <w:jc w:val="left"/>
    </w:pPr>
  </w:style>
  <w:style w:type="paragraph" w:styleId="8">
    <w:name w:val="toc 5"/>
    <w:basedOn w:val="1"/>
    <w:next w:val="1"/>
    <w:autoRedefine/>
    <w:unhideWhenUsed/>
    <w:qFormat/>
    <w:uiPriority w:val="39"/>
    <w:pPr>
      <w:ind w:left="720"/>
      <w:jc w:val="left"/>
    </w:pPr>
    <w:rPr>
      <w:rFonts w:asciiTheme="minorHAnsi" w:eastAsiaTheme="minorHAnsi"/>
      <w:sz w:val="20"/>
      <w:szCs w:val="20"/>
    </w:rPr>
  </w:style>
  <w:style w:type="paragraph" w:styleId="9">
    <w:name w:val="toc 3"/>
    <w:basedOn w:val="1"/>
    <w:next w:val="1"/>
    <w:autoRedefine/>
    <w:unhideWhenUsed/>
    <w:qFormat/>
    <w:uiPriority w:val="39"/>
    <w:pPr>
      <w:ind w:left="240"/>
      <w:jc w:val="left"/>
    </w:pPr>
    <w:rPr>
      <w:rFonts w:asciiTheme="minorHAnsi" w:eastAsiaTheme="minorHAnsi"/>
      <w:sz w:val="20"/>
      <w:szCs w:val="20"/>
    </w:rPr>
  </w:style>
  <w:style w:type="paragraph" w:styleId="10">
    <w:name w:val="toc 8"/>
    <w:basedOn w:val="1"/>
    <w:next w:val="1"/>
    <w:autoRedefine/>
    <w:unhideWhenUsed/>
    <w:qFormat/>
    <w:uiPriority w:val="39"/>
    <w:pPr>
      <w:ind w:left="1440"/>
      <w:jc w:val="left"/>
    </w:pPr>
    <w:rPr>
      <w:rFonts w:asciiTheme="minorHAnsi" w:eastAsiaTheme="minorHAnsi"/>
      <w:sz w:val="20"/>
      <w:szCs w:val="20"/>
    </w:rPr>
  </w:style>
  <w:style w:type="paragraph" w:styleId="11">
    <w:name w:val="Date"/>
    <w:basedOn w:val="1"/>
    <w:next w:val="1"/>
    <w:link w:val="28"/>
    <w:semiHidden/>
    <w:unhideWhenUsed/>
    <w:qFormat/>
    <w:uiPriority w:val="99"/>
    <w:pPr>
      <w:ind w:left="100" w:leftChars="2500"/>
    </w:pPr>
  </w:style>
  <w:style w:type="paragraph" w:styleId="12">
    <w:name w:val="Balloon Text"/>
    <w:basedOn w:val="1"/>
    <w:link w:val="34"/>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jc w:val="center"/>
    </w:pPr>
    <w:rPr>
      <w:sz w:val="18"/>
      <w:szCs w:val="18"/>
    </w:rPr>
  </w:style>
  <w:style w:type="paragraph" w:styleId="15">
    <w:name w:val="toc 1"/>
    <w:basedOn w:val="1"/>
    <w:next w:val="1"/>
    <w:autoRedefine/>
    <w:unhideWhenUsed/>
    <w:qFormat/>
    <w:uiPriority w:val="39"/>
    <w:pPr>
      <w:tabs>
        <w:tab w:val="right" w:leader="middleDot" w:pos="8302"/>
      </w:tabs>
      <w:spacing w:line="240" w:lineRule="auto"/>
      <w:ind w:firstLine="0" w:firstLineChars="0"/>
      <w:jc w:val="left"/>
    </w:pPr>
    <w:rPr>
      <w:rFonts w:asciiTheme="majorHAnsi" w:eastAsiaTheme="majorHAnsi"/>
      <w:b/>
      <w:bCs/>
      <w:caps/>
    </w:rPr>
  </w:style>
  <w:style w:type="paragraph" w:styleId="16">
    <w:name w:val="toc 4"/>
    <w:basedOn w:val="1"/>
    <w:next w:val="1"/>
    <w:autoRedefine/>
    <w:unhideWhenUsed/>
    <w:qFormat/>
    <w:uiPriority w:val="39"/>
    <w:pPr>
      <w:ind w:left="480"/>
      <w:jc w:val="left"/>
    </w:pPr>
    <w:rPr>
      <w:rFonts w:asciiTheme="minorHAnsi" w:eastAsiaTheme="minorHAnsi"/>
      <w:sz w:val="20"/>
      <w:szCs w:val="20"/>
    </w:rPr>
  </w:style>
  <w:style w:type="paragraph" w:styleId="17">
    <w:name w:val="toc 6"/>
    <w:basedOn w:val="1"/>
    <w:next w:val="1"/>
    <w:autoRedefine/>
    <w:unhideWhenUsed/>
    <w:qFormat/>
    <w:uiPriority w:val="39"/>
    <w:pPr>
      <w:ind w:left="960"/>
      <w:jc w:val="left"/>
    </w:pPr>
    <w:rPr>
      <w:rFonts w:asciiTheme="minorHAnsi" w:eastAsiaTheme="minorHAnsi"/>
      <w:sz w:val="20"/>
      <w:szCs w:val="20"/>
    </w:rPr>
  </w:style>
  <w:style w:type="paragraph" w:styleId="18">
    <w:name w:val="toc 2"/>
    <w:basedOn w:val="1"/>
    <w:next w:val="1"/>
    <w:autoRedefine/>
    <w:unhideWhenUsed/>
    <w:qFormat/>
    <w:uiPriority w:val="39"/>
    <w:pPr>
      <w:spacing w:before="240"/>
      <w:jc w:val="left"/>
    </w:pPr>
    <w:rPr>
      <w:rFonts w:asciiTheme="minorHAnsi" w:eastAsiaTheme="minorHAnsi"/>
      <w:b/>
      <w:bCs/>
      <w:sz w:val="20"/>
      <w:szCs w:val="20"/>
    </w:rPr>
  </w:style>
  <w:style w:type="paragraph" w:styleId="19">
    <w:name w:val="toc 9"/>
    <w:basedOn w:val="1"/>
    <w:next w:val="1"/>
    <w:autoRedefine/>
    <w:unhideWhenUsed/>
    <w:qFormat/>
    <w:uiPriority w:val="39"/>
    <w:pPr>
      <w:ind w:left="1680"/>
      <w:jc w:val="left"/>
    </w:pPr>
    <w:rPr>
      <w:rFonts w:asciiTheme="minorHAnsi" w:eastAsiaTheme="minorHAnsi"/>
      <w:sz w:val="20"/>
      <w:szCs w:val="20"/>
    </w:rPr>
  </w:style>
  <w:style w:type="paragraph" w:styleId="20">
    <w:name w:val="Normal (Web)"/>
    <w:basedOn w:val="1"/>
    <w:unhideWhenUsed/>
    <w:qFormat/>
    <w:uiPriority w:val="99"/>
    <w:pPr>
      <w:widowControl/>
      <w:spacing w:after="240"/>
      <w:ind w:firstLine="420"/>
    </w:pPr>
    <w:rPr>
      <w:rFonts w:cs="宋体"/>
      <w:kern w:val="0"/>
    </w:rPr>
  </w:style>
  <w:style w:type="paragraph" w:styleId="21">
    <w:name w:val="annotation subject"/>
    <w:basedOn w:val="7"/>
    <w:next w:val="7"/>
    <w:link w:val="33"/>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日期 字符"/>
    <w:basedOn w:val="24"/>
    <w:link w:val="11"/>
    <w:semiHidden/>
    <w:qFormat/>
    <w:uiPriority w:val="99"/>
  </w:style>
  <w:style w:type="paragraph" w:styleId="29">
    <w:name w:val="List Paragraph"/>
    <w:basedOn w:val="1"/>
    <w:qFormat/>
    <w:uiPriority w:val="34"/>
    <w:pPr>
      <w:ind w:firstLine="420"/>
    </w:pPr>
  </w:style>
  <w:style w:type="character" w:customStyle="1" w:styleId="30">
    <w:name w:val="页眉 字符"/>
    <w:basedOn w:val="24"/>
    <w:link w:val="14"/>
    <w:qFormat/>
    <w:uiPriority w:val="99"/>
    <w:rPr>
      <w:sz w:val="18"/>
      <w:szCs w:val="18"/>
    </w:rPr>
  </w:style>
  <w:style w:type="character" w:customStyle="1" w:styleId="31">
    <w:name w:val="页脚 字符"/>
    <w:basedOn w:val="24"/>
    <w:link w:val="13"/>
    <w:qFormat/>
    <w:uiPriority w:val="99"/>
    <w:rPr>
      <w:sz w:val="18"/>
      <w:szCs w:val="18"/>
    </w:rPr>
  </w:style>
  <w:style w:type="character" w:customStyle="1" w:styleId="32">
    <w:name w:val="批注文字 字符"/>
    <w:basedOn w:val="24"/>
    <w:link w:val="7"/>
    <w:qFormat/>
    <w:uiPriority w:val="99"/>
  </w:style>
  <w:style w:type="character" w:customStyle="1" w:styleId="33">
    <w:name w:val="批注主题 字符"/>
    <w:basedOn w:val="32"/>
    <w:link w:val="21"/>
    <w:semiHidden/>
    <w:qFormat/>
    <w:uiPriority w:val="99"/>
    <w:rPr>
      <w:b/>
      <w:bCs/>
    </w:rPr>
  </w:style>
  <w:style w:type="character" w:customStyle="1" w:styleId="34">
    <w:name w:val="批注框文本 字符"/>
    <w:basedOn w:val="24"/>
    <w:link w:val="12"/>
    <w:semiHidden/>
    <w:qFormat/>
    <w:uiPriority w:val="99"/>
    <w:rPr>
      <w:sz w:val="18"/>
      <w:szCs w:val="18"/>
    </w:rPr>
  </w:style>
  <w:style w:type="character" w:customStyle="1" w:styleId="35">
    <w:name w:val="cf01"/>
    <w:basedOn w:val="24"/>
    <w:qFormat/>
    <w:uiPriority w:val="0"/>
    <w:rPr>
      <w:rFonts w:hint="eastAsia" w:ascii="Microsoft YaHei UI" w:hAnsi="Microsoft YaHei UI" w:eastAsia="Microsoft YaHei UI"/>
      <w:sz w:val="18"/>
      <w:szCs w:val="18"/>
    </w:rPr>
  </w:style>
  <w:style w:type="character" w:customStyle="1" w:styleId="36">
    <w:name w:val="标题 1 字符"/>
    <w:basedOn w:val="24"/>
    <w:link w:val="2"/>
    <w:qFormat/>
    <w:uiPriority w:val="9"/>
    <w:rPr>
      <w:rFonts w:ascii="黑体" w:hAnsi="黑体" w:eastAsia="黑体"/>
      <w:b/>
      <w:bCs/>
      <w:kern w:val="44"/>
      <w:sz w:val="32"/>
      <w:szCs w:val="32"/>
    </w:rPr>
  </w:style>
  <w:style w:type="character" w:customStyle="1" w:styleId="37">
    <w:name w:val="标题 2 字符"/>
    <w:basedOn w:val="24"/>
    <w:link w:val="3"/>
    <w:qFormat/>
    <w:uiPriority w:val="9"/>
    <w:rPr>
      <w:rFonts w:ascii="黑体" w:hAnsi="黑体" w:eastAsia="黑体" w:cstheme="majorBidi"/>
      <w:bCs/>
      <w:sz w:val="28"/>
      <w:szCs w:val="28"/>
    </w:rPr>
  </w:style>
  <w:style w:type="character" w:customStyle="1" w:styleId="38">
    <w:name w:val="标题 3 字符"/>
    <w:basedOn w:val="24"/>
    <w:link w:val="4"/>
    <w:qFormat/>
    <w:uiPriority w:val="9"/>
    <w:rPr>
      <w:rFonts w:ascii="黑体" w:hAnsi="黑体" w:eastAsia="黑体"/>
      <w:bCs/>
      <w:sz w:val="24"/>
      <w:szCs w:val="24"/>
    </w:rPr>
  </w:style>
  <w:style w:type="character" w:customStyle="1" w:styleId="39">
    <w:name w:val="标题 4 字符"/>
    <w:basedOn w:val="24"/>
    <w:link w:val="5"/>
    <w:qFormat/>
    <w:uiPriority w:val="9"/>
    <w:rPr>
      <w:rFonts w:asciiTheme="majorHAnsi" w:hAnsiTheme="majorHAnsi" w:eastAsiaTheme="majorEastAsia" w:cstheme="majorBidi"/>
      <w:b/>
      <w:bCs/>
      <w:sz w:val="28"/>
      <w:szCs w:val="28"/>
    </w:rPr>
  </w:style>
  <w:style w:type="paragraph" w:customStyle="1" w:styleId="40">
    <w:name w:val="TOC Heading"/>
    <w:basedOn w:val="2"/>
    <w:next w:val="1"/>
    <w:unhideWhenUsed/>
    <w:qFormat/>
    <w:uiPriority w:val="39"/>
    <w:pPr>
      <w:widowControl/>
      <w:adjustRightInd/>
      <w:snapToGrid/>
      <w:spacing w:before="24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61529def-6845-452a-8723-d369f03a641c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601FB5A6</paraID>
      <start>24</start>
      <end>27</end>
      <status>unmodified</status>
      <modifiedWord/>
      <trackRevisions>false</trackRevisions>
    </reviewItem>
    <reviewItem>
      <errorID>9bbcf930-bd67-4b65-a774-dd7bc9f4c299</errorID>
      <errorWord>(</errorWord>
      <group>L1_Format</group>
      <groupName>格式问题</groupName>
      <ability>L2_HalfPunc_CN</ability>
      <abilityName>全半角检查</abilityName>
      <candidateList>
        <item>（</item>
      </candidateList>
      <explain>文本全半角错误。</explain>
      <paraID>7D17B2B1</paraID>
      <start>4</start>
      <end>5</end>
      <status>unmodified</status>
      <modifiedWord/>
      <trackRevisions>false</trackRevisions>
    </reviewItem>
    <reviewItem>
      <errorID>183d3000-9bc6-4947-90c7-369e908937dc</errorID>
      <errorWord>)</errorWord>
      <group>L1_Format</group>
      <groupName>格式问题</groupName>
      <ability>L2_HalfPunc_CN</ability>
      <abilityName>全半角检查</abilityName>
      <candidateList>
        <item>）</item>
      </candidateList>
      <explain>文本全半角错误。</explain>
      <paraID>7D17B2B1</paraID>
      <start>6</start>
      <end>7</end>
      <status>unmodified</status>
      <modifiedWord/>
      <trackRevisions>false</trackRevisions>
    </reviewItem>
    <reviewItem>
      <errorID>ea78b0f3-48a5-440e-96c7-90639a5d6ed3</errorID>
      <errorWord>维</errorWord>
      <group>L1_Word</group>
      <groupName>字词问题</groupName>
      <ability>L2_Typo</ability>
      <abilityName>字词错误</abilityName>
      <candidateList>
        <item>维护</item>
      </candidateList>
      <explain/>
      <paraID>5901AC55</paraID>
      <start>25</start>
      <end>26</end>
      <status>unmodified</status>
      <modifiedWord/>
      <trackRevisions>false</trackRevisions>
    </reviewItem>
    <reviewItem>
      <errorID>541dc5c3-3e6e-4239-a84e-a1ff720a2580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4E35B18A</paraID>
      <start>0</start>
      <end>2</end>
      <status>unmodified</status>
      <modifiedWord/>
      <trackRevisions>false</trackRevisions>
    </reviewItem>
    <reviewItem>
      <errorID>9409643f-d679-43bd-9f0f-f380960cf102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59860958</paraID>
      <start>0</start>
      <end>2</end>
      <status>unmodified</status>
      <modifiedWord/>
      <trackRevisions>false</trackRevisions>
    </reviewItem>
    <reviewItem>
      <errorID>e0b66428-eaa3-4a42-ad10-1b1922a1fbeb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37220089</paraID>
      <start>0</start>
      <end>2</end>
      <status>unmodified</status>
      <modifiedWord/>
      <trackRevisions>false</trackRevisions>
    </reviewItem>
    <reviewItem>
      <errorID>ea075a46-1fb1-4070-813c-93706a036891</errorID>
      <errorWord>(</errorWord>
      <group>L1_Format</group>
      <groupName>格式问题</groupName>
      <ability>L2_HalfPunc_CN</ability>
      <abilityName>全半角检查</abilityName>
      <candidateList>
        <item>（</item>
      </candidateList>
      <explain>文本全半角错误。</explain>
      <paraID> 8C41408</paraID>
      <start>42</start>
      <end>43</end>
      <status>unmodified</status>
      <modifiedWord/>
      <trackRevisions>false</trackRevisions>
    </reviewItem>
    <reviewItem>
      <errorID>c12807f3-6031-4ecb-b126-88ac9a5110ef</errorID>
      <errorWord>)</errorWord>
      <group>L1_Format</group>
      <groupName>格式问题</groupName>
      <ability>L2_HalfPunc_CN</ability>
      <abilityName>全半角检查</abilityName>
      <candidateList>
        <item>）</item>
      </candidateList>
      <explain>文本全半角错误。</explain>
      <paraID> 8C41408</paraID>
      <start>49</start>
      <end>50</end>
      <status>unmodified</status>
      <modifiedWord/>
      <trackRevisions>false</trackRevisions>
    </reviewItem>
    <reviewItem>
      <errorID>8cd993ac-a4ff-4f02-98af-ceacf778657a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66D0D3E5</paraID>
      <start>0</start>
      <end>2</end>
      <status>unmodified</status>
      <modifiedWord/>
      <trackRevisions>false</trackRevisions>
    </reviewItem>
    <reviewItem>
      <errorID>2b17b1fc-0264-49e0-a4df-ce2bc5b1f895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5048BB4D</paraID>
      <start>0</start>
      <end>2</end>
      <status>unmodified</status>
      <modifiedWord/>
      <trackRevisions>false</trackRevisions>
    </reviewItem>
    <reviewItem>
      <errorID>0e3fa6ea-a9ca-4851-bd08-71819f5324f7</errorID>
      <errorWord>：</errorWord>
      <group>L1_Format</group>
      <groupName>格式问题</groupName>
      <ability>L2_HalfPunc_CN</ability>
      <abilityName>全半角检查</abilityName>
      <candidateList>
        <item>:</item>
      </candidateList>
      <explain>文本全半角错误。</explain>
      <paraID>3B62FBE5</paraID>
      <start>22</start>
      <end>23</end>
      <status>unmodified</status>
      <modifiedWord/>
      <trackRevisions>false</trackRevisions>
    </reviewItem>
    <reviewItem>
      <errorID>b76083c9-5ffe-4529-a44c-4047652c9fb5</errorID>
      <errorWord>法律、法规</errorWord>
      <group>L1_Word</group>
      <groupName>字词问题</groupName>
      <ability>L2_Typo</ability>
      <abilityName>字词错误</abilityName>
      <candidateList>
        <item>法律法规</item>
      </candidateList>
      <explain/>
      <paraID>48DD6EAC</paraID>
      <start>3</start>
      <end>8</end>
      <status>unmodified</status>
      <modifiedWord/>
      <trackRevisions>false</trackRevisions>
    </reviewItem>
    <reviewItem>
      <errorID>39f9916d-ce91-457e-af70-12325bc82614</errorID>
      <errorWord>法律、法规</errorWord>
      <group>L1_Word</group>
      <groupName>字词问题</groupName>
      <ability>L2_Typo</ability>
      <abilityName>字词错误</abilityName>
      <candidateList>
        <item>法律法规</item>
      </candidateList>
      <explain/>
      <paraID> 4896997</paraID>
      <start>29</start>
      <end>34</end>
      <status>unmodified</status>
      <modifiedWord/>
      <trackRevisions>false</trackRevisions>
    </reviewItem>
    <reviewItem>
      <errorID>28aa0707-6094-460e-9221-8713f3fa2b66</errorID>
      <errorWord>使用范围</errorWord>
      <group>L1_Word</group>
      <groupName>字词问题</groupName>
      <ability>L2_Typo</ability>
      <abilityName>字词错误</abilityName>
      <candidateList>
        <item>适用范围</item>
      </candidateList>
      <explain/>
      <paraID>4438062F</paraID>
      <start>3</start>
      <end>7</end>
      <status>unmodified</status>
      <modifiedWord/>
      <trackRevisions>false</trackRevisions>
    </reviewItem>
    <reviewItem>
      <errorID>96e35bce-7f72-4fae-81c8-e47a6784a475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43259E50</paraID>
      <start>0</start>
      <end>2</end>
      <status>unmodified</status>
      <modifiedWord/>
      <trackRevisions>false</trackRevisions>
    </reviewItem>
    <reviewItem>
      <errorID>0ea0d34b-9db4-4c72-ae20-33832849e7a7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295EEB46</paraID>
      <start>0</start>
      <end>2</end>
      <status>unmodified</status>
      <modifiedWord/>
      <trackRevisions>false</trackRevisions>
    </reviewItem>
    <reviewItem>
      <errorID>b071a51b-5325-4f32-a6dd-1af6f5815093</errorID>
      <errorWord>;</errorWord>
      <group>L1_Format</group>
      <groupName>格式问题</groupName>
      <ability>L2_HalfPunc_CN</ability>
      <abilityName>全半角检查</abilityName>
      <candidateList>
        <item>；</item>
      </candidateList>
      <explain>文本全半角错误。</explain>
      <paraID>4F9CEDC2</paraID>
      <start>61</start>
      <end>62</end>
      <status>unmodified</status>
      <modifiedWord/>
      <trackRevisions>false</trackRevisions>
    </reviewItem>
    <reviewItem>
      <errorID>1a98ac5c-d79b-43b7-99ad-c8cd681d74f3</errorID>
      <errorWord>法律、法规</errorWord>
      <group>L1_Word</group>
      <groupName>字词问题</groupName>
      <ability>L2_Typo</ability>
      <abilityName>字词错误</abilityName>
      <candidateList>
        <item>法律法规</item>
      </candidateList>
      <explain/>
      <paraID> E36471F</paraID>
      <start>30</start>
      <end>35</end>
      <status>unmodified</status>
      <modifiedWord/>
      <trackRevisions>false</trackRevisions>
    </reviewItem>
    <reviewItem>
      <errorID>875deccb-13bb-4785-9582-e76579b4aac4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69739A74</paraID>
      <start>0</start>
      <end>2</end>
      <status>unmodified</status>
      <modifiedWord/>
      <trackRevisions>false</trackRevisions>
    </reviewItem>
    <reviewItem>
      <errorID>743adbcf-87ca-441d-9827-643af7a2892f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7BF2A4AD</paraID>
      <start>0</start>
      <end>2</end>
      <status>unmodified</status>
      <modifiedWord/>
      <trackRevisions>false</trackRevisions>
    </reviewItem>
    <reviewItem>
      <errorID>0b14fab2-583b-4566-ba57-c0c73fe3e1eb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32811D09</paraID>
      <start>0</start>
      <end>2</end>
      <status>unmodified</status>
      <modifiedWord/>
      <trackRevisions>false</trackRevisions>
    </reviewItem>
    <reviewItem>
      <errorID>f2ea5f78-0197-4333-b3ac-b07844b658e3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45071679</paraID>
      <start>0</start>
      <end>2</end>
      <status>unmodified</status>
      <modifiedWord/>
      <trackRevisions>false</trackRevisions>
    </reviewItem>
    <reviewItem>
      <errorID>139620c5-24d8-4242-a027-6096ccd1ee13</errorID>
      <errorWord>。。</errorWord>
      <group>L1_Punc</group>
      <groupName>标点问题</groupName>
      <ability>L2_Punc_CN</ability>
      <abilityName>标点符号检查</abilityName>
      <candidateList>
        <item>。</item>
      </candidateList>
      <explain/>
      <paraID>31BB9EA5</paraID>
      <start>84</start>
      <end>86</end>
      <status>unmodified</status>
      <modifiedWord/>
      <trackRevisions>false</trackRevisions>
    </reviewItem>
    <reviewItem>
      <errorID>f5708acc-2cdc-4698-b7a9-8cbbc9100f7f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180A01C</paraID>
      <start>0</start>
      <end>2</end>
      <status>unmodified</status>
      <modifiedWord/>
      <trackRevisions>false</trackRevisions>
    </reviewItem>
    <reviewItem>
      <errorID>503cbb09-fb67-4600-a741-c8dda8cf4acc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4FC00995</paraID>
      <start>0</start>
      <end>2</end>
      <status>unmodified</status>
      <modifiedWord/>
      <trackRevisions>false</trackRevisions>
    </reviewItem>
    <reviewItem>
      <errorID>c2003089-ca87-4ac8-8048-8000fb6b21bb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693A78F1</paraID>
      <start>0</start>
      <end>3</end>
      <status>unmodified</status>
      <modifiedWord/>
      <trackRevisions>false</trackRevisions>
    </reviewItem>
    <reviewItem>
      <errorID>70a2707a-2aa3-4a73-8af6-cbe053ac75f0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B621919</paraID>
      <start>0</start>
      <end>3</end>
      <status>unmodified</status>
      <modifiedWord/>
      <trackRevisions>false</trackRevisions>
    </reviewItem>
    <reviewItem>
      <errorID>7f858ccf-9666-4b85-b8b8-5609ab451c52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15FFEB03</paraID>
      <start>0</start>
      <end>3</end>
      <status>unmodified</status>
      <modifiedWord/>
      <trackRevisions>false</trackRevisions>
    </reviewItem>
    <reviewItem>
      <errorID>e184f3c2-6c54-4ec0-a9a3-829bbdc555be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5ABA0030</paraID>
      <start>0</start>
      <end>3</end>
      <status>unmodified</status>
      <modifiedWord/>
      <trackRevisions>false</trackRevisions>
    </reviewItem>
    <reviewItem>
      <errorID>903342d6-3b94-489a-80bc-457e2489eb03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4EB001A9</paraID>
      <start>0</start>
      <end>3</end>
      <status>unmodified</status>
      <modifiedWord/>
      <trackRevisions>false</trackRevisions>
    </reviewItem>
    <reviewItem>
      <errorID>7d2e9200-4d53-4296-8303-392199d51409</errorID>
      <errorWord>作必要</errorWord>
      <group>L1_Word</group>
      <groupName>字词问题</groupName>
      <ability>L2_Typo</ability>
      <abilityName>字词错误</abilityName>
      <candidateList>
        <item>做必要</item>
      </candidateList>
      <explain/>
      <paraID>1168CBDF</paraID>
      <start>12</start>
      <end>15</end>
      <status>unmodified</status>
      <modifiedWord/>
      <trackRevisions>false</trackRevisions>
    </reviewItem>
    <reviewItem>
      <errorID>3194413c-71d9-4bed-a735-c16cd5b50ba8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35B0E53E</paraID>
      <start>0</start>
      <end>3</end>
      <status>unmodified</status>
      <modifiedWord/>
      <trackRevisions>false</trackRevisions>
    </reviewItem>
    <reviewItem>
      <errorID>e5e3ecf2-df1b-42a0-98d4-ef9d60c46fb8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1D1670E2</paraID>
      <start>0</start>
      <end>3</end>
      <status>unmodified</status>
      <modifiedWord/>
      <trackRevisions>false</trackRevisions>
    </reviewItem>
    <reviewItem>
      <errorID>8a923525-7f57-4497-84b2-37d90ebe52a9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1A7F4082</paraID>
      <start>0</start>
      <end>3</end>
      <status>unmodified</status>
      <modifiedWord/>
      <trackRevisions>false</trackRevisions>
    </reviewItem>
    <reviewItem>
      <errorID>794da885-1337-4358-83b7-f874ac649587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7ABA7FFC</paraID>
      <start>0</start>
      <end>3</end>
      <status>unmodified</status>
      <modifiedWord/>
      <trackRevisions>false</trackRevisions>
    </reviewItem>
    <reviewItem>
      <errorID>483a2701-afd2-4edd-8b4f-b1225717c778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2EDD2323</paraID>
      <start>0</start>
      <end>3</end>
      <status>unmodified</status>
      <modifiedWord/>
      <trackRevisions>false</trackRevisions>
    </reviewItem>
    <reviewItem>
      <errorID>ba9f8312-7f7b-486e-a23e-9514f57c4e71</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3BA6C52D</paraID>
      <start>0</start>
      <end>3</end>
      <status>unmodified</status>
      <modifiedWord/>
      <trackRevisions>false</trackRevisions>
    </reviewItem>
    <reviewItem>
      <errorID>c3b5e6a4-afc2-4f16-92cb-af7de23287f0</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65B48B6E</paraID>
      <start>0</start>
      <end>3</end>
      <status>unmodified</status>
      <modifiedWord/>
      <trackRevisions>false</trackRevisions>
    </reviewItem>
    <reviewItem>
      <errorID>cb4a7bd8-94d1-4406-8778-2255a6d3de61</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63487BDE</paraID>
      <start>0</start>
      <end>3</end>
      <status>unmodified</status>
      <modifiedWord/>
      <trackRevisions>false</trackRevisions>
    </reviewItem>
    <reviewItem>
      <errorID>933ec4f3-e1b8-48d3-aba0-a9bc8a4eb842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27F61BD4</paraID>
      <start>0</start>
      <end>3</end>
      <status>unmodified</status>
      <modifiedWord/>
      <trackRevisions>false</trackRevisions>
    </reviewItem>
    <reviewItem>
      <errorID>fbbe60e1-f937-4f64-8584-194c7b212149</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3A5DF62F</paraID>
      <start>0</start>
      <end>3</end>
      <status>unmodified</status>
      <modifiedWord/>
      <trackRevisions>false</trackRevisions>
    </reviewItem>
    <reviewItem>
      <errorID>835a3090-9c5d-4a13-b4c5-dd51cd587310</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579B48CF</paraID>
      <start>0</start>
      <end>3</end>
      <status>unmodified</status>
      <modifiedWord/>
      <trackRevisions>false</trackRevisions>
    </reviewItem>
    <reviewItem>
      <errorID>00ed2872-af62-4981-a3c0-a2190d541b4e</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436FE257</paraID>
      <start>0</start>
      <end>3</end>
      <status>unmodified</status>
      <modifiedWord/>
      <trackRevisions>false</trackRevisions>
    </reviewItem>
    <reviewItem>
      <errorID>eec64b44-40d6-4bb3-86cd-4495c33926f6</errorID>
      <errorWord>权力</errorWord>
      <group>L1_Word</group>
      <groupName>字词问题</groupName>
      <ability>L2_Typo</ability>
      <abilityName>字词错误</abilityName>
      <candidateList>
        <item>权利</item>
      </candidateList>
      <explain/>
      <paraID>436FE257</paraID>
      <start>16</start>
      <end>18</end>
      <status>unmodified</status>
      <modifiedWord/>
      <trackRevisions>false</trackRevisions>
    </reviewItem>
    <reviewItem>
      <errorID>3083ccdd-1961-4b3d-9a58-5b556c10b47b</errorID>
      <errorWord>投标的权力</errorWord>
      <group>L1_Word</group>
      <groupName>字词问题</groupName>
      <ability>L2_Typo</ability>
      <abilityName>字词错误</abilityName>
      <candidateList>
        <item>投标的权利</item>
      </candidateList>
      <explain/>
      <paraID>30C8E78F</paraID>
      <start>30</start>
      <end>35</end>
      <status>unmodified</status>
      <modifiedWord/>
      <trackRevisions>false</trackRevisions>
    </reviewItem>
    <reviewItem>
      <errorID>787f32a8-3667-41f3-b3d0-7e093e8b9e0d</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313B95C0</paraID>
      <start>0</start>
      <end>3</end>
      <status>unmodified</status>
      <modifiedWord/>
      <trackRevisions>false</trackRevisions>
    </reviewItem>
    <reviewItem>
      <errorID>a2433617-6dfc-4be8-8321-f90ae0204910</errorID>
      <errorWord>做出</errorWord>
      <group>L1_Word</group>
      <groupName>字词问题</groupName>
      <ability>L2_Typo</ability>
      <abilityName>字词错误</abilityName>
      <candidateList>
        <item>作出</item>
      </candidateList>
      <explain/>
      <paraID>7010DC44</paraID>
      <start>22</start>
      <end>24</end>
      <status>unmodified</status>
      <modifiedWord/>
      <trackRevisions>false</trackRevisions>
    </reviewItem>
    <reviewItem>
      <errorID>d87ee506-83c6-40db-b41f-095dbc325141</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488FD355</paraID>
      <start>0</start>
      <end>3</end>
      <status>unmodified</status>
      <modifiedWord/>
      <trackRevisions>false</trackRevisions>
    </reviewItem>
    <reviewItem>
      <errorID>b7b17f4c-9f88-4c4e-ae23-1560083cb566</errorID>
      <errorWord>(</errorWord>
      <group>L1_Format</group>
      <groupName>格式问题</groupName>
      <ability>L2_HalfPunc_CN</ability>
      <abilityName>全半角检查</abilityName>
      <candidateList>
        <item>（</item>
      </candidateList>
      <explain>文本全半角错误。</explain>
      <paraID>3BA310C4</paraID>
      <start>20</start>
      <end>21</end>
      <status>unmodified</status>
      <modifiedWord/>
      <trackRevisions>false</trackRevisions>
    </reviewItem>
    <reviewItem>
      <errorID>6eb9e59a-36c4-4848-a1d5-ee3c13031425</errorID>
      <errorWord>)</errorWord>
      <group>L1_Format</group>
      <groupName>格式问题</groupName>
      <ability>L2_HalfPunc_CN</ability>
      <abilityName>全半角检查</abilityName>
      <candidateList>
        <item>）</item>
      </candidateList>
      <explain>文本全半角错误。</explain>
      <paraID>3BA310C4</paraID>
      <start>27</start>
      <end>28</end>
      <status>unmodified</status>
      <modifiedWord/>
      <trackRevisions>false</trackRevisions>
    </reviewItem>
    <reviewItem>
      <errorID>0f509e53-73b2-4275-a921-514ea17a9749</errorID>
      <errorWord>(</errorWord>
      <group>L1_Format</group>
      <groupName>格式问题</groupName>
      <ability>L2_HalfPunc_CN</ability>
      <abilityName>全半角检查</abilityName>
      <candidateList>
        <item>（</item>
      </candidateList>
      <explain>文本全半角错误。</explain>
      <paraID>3BA310C4</paraID>
      <start>44</start>
      <end>45</end>
      <status>unmodified</status>
      <modifiedWord/>
      <trackRevisions>false</trackRevisions>
    </reviewItem>
    <reviewItem>
      <errorID>2302024b-d422-4f48-9b7a-ac7721a316b2</errorID>
      <errorWord>)(</errorWord>
      <group>L1_Format</group>
      <groupName>格式问题</groupName>
      <ability>L2_HalfPunc_CN</ability>
      <abilityName>全半角检查</abilityName>
      <candidateList>
        <item>）（</item>
      </candidateList>
      <explain>文本全半角错误。</explain>
      <paraID>3BA310C4</paraID>
      <start>51</start>
      <end>53</end>
      <status>unmodified</status>
      <modifiedWord/>
      <trackRevisions>false</trackRevisions>
    </reviewItem>
    <reviewItem>
      <errorID>f09dc4e2-27ee-42e9-ae8a-9b8d2b22a760</errorID>
      <errorWord>)</errorWord>
      <group>L1_Format</group>
      <groupName>格式问题</groupName>
      <ability>L2_HalfPunc_CN</ability>
      <abilityName>全半角检查</abilityName>
      <candidateList>
        <item>）</item>
      </candidateList>
      <explain>文本全半角错误。</explain>
      <paraID>3BA310C4</paraID>
      <start>58</start>
      <end>59</end>
      <status>unmodified</status>
      <modifiedWord/>
      <trackRevisions>false</trackRevisions>
    </reviewItem>
    <reviewItem>
      <errorID>48466585-51ce-4adf-8f2f-ea411f2a1e04</errorID>
      <errorWord>(</errorWord>
      <group>L1_Format</group>
      <groupName>格式问题</groupName>
      <ability>L2_HalfPunc_CN</ability>
      <abilityName>全半角检查</abilityName>
      <candidateList>
        <item>（</item>
      </candidateList>
      <explain>文本全半角错误。</explain>
      <paraID>3BA310C4</paraID>
      <start>95</start>
      <end>96</end>
      <status>unmodified</status>
      <modifiedWord/>
      <trackRevisions>false</trackRevisions>
    </reviewItem>
    <reviewItem>
      <errorID>adb74fcf-fa5f-4614-9596-364cc650096d</errorID>
      <errorWord>)</errorWord>
      <group>L1_Format</group>
      <groupName>格式问题</groupName>
      <ability>L2_HalfPunc_CN</ability>
      <abilityName>全半角检查</abilityName>
      <candidateList>
        <item>）</item>
      </candidateList>
      <explain>文本全半角错误。</explain>
      <paraID>3BA310C4</paraID>
      <start>100</start>
      <end>101</end>
      <status>unmodified</status>
      <modifiedWord/>
      <trackRevisions>false</trackRevisions>
    </reviewItem>
    <reviewItem>
      <errorID>ac8f7e38-07a2-4e6d-9de1-5b4e8c927a01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1CE8059</paraID>
      <start>0</start>
      <end>2</end>
      <status>unmodified</status>
      <modifiedWord/>
      <trackRevisions>false</trackRevisions>
    </reviewItem>
    <reviewItem>
      <errorID>57b1d0aa-7e9d-4c52-bcd2-407346b6630d</errorID>
      <errorWord>(</errorWord>
      <group>L1_Format</group>
      <groupName>格式问题</groupName>
      <ability>L2_HalfPunc_CN</ability>
      <abilityName>全半角检查</abilityName>
      <candidateList>
        <item>（</item>
      </candidateList>
      <explain>文本全半角错误。</explain>
      <paraID> 1CE8059</paraID>
      <start>16</start>
      <end>17</end>
      <status>unmodified</status>
      <modifiedWord/>
      <trackRevisions>false</trackRevisions>
    </reviewItem>
    <reviewItem>
      <errorID>e9d46967-8e06-4a91-b2e3-d001f8c3740f</errorID>
      <errorWord>)</errorWord>
      <group>L1_Format</group>
      <groupName>格式问题</groupName>
      <ability>L2_HalfPunc_CN</ability>
      <abilityName>全半角检查</abilityName>
      <candidateList>
        <item>）</item>
      </candidateList>
      <explain>文本全半角错误。</explain>
      <paraID> 1CE8059</paraID>
      <start>21</start>
      <end>22</end>
      <status>unmodified</status>
      <modifiedWord/>
      <trackRevisions>false</trackRevisions>
    </reviewItem>
    <reviewItem>
      <errorID>ac21cc8b-bf58-482a-993c-d1bb210a30c2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77CC03F9</paraID>
      <start>0</start>
      <end>2</end>
      <status>unmodified</status>
      <modifiedWord/>
      <trackRevisions>false</trackRevisions>
    </reviewItem>
    <reviewItem>
      <errorID>ad52dba9-aacf-42ca-9e5a-b3c2beb582eb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ADB8A16</paraID>
      <start>0</start>
      <end>2</end>
      <status>unmodified</status>
      <modifiedWord/>
      <trackRevisions>false</trackRevisions>
    </reviewItem>
    <reviewItem>
      <errorID>8eb8748a-4ef6-4ecd-880f-72d226d7d17b</errorID>
      <errorWord>(</errorWord>
      <group>L1_Format</group>
      <groupName>格式问题</groupName>
      <ability>L2_HalfPunc_CN</ability>
      <abilityName>全半角检查</abilityName>
      <candidateList>
        <item>（</item>
      </candidateList>
      <explain>文本全半角错误。</explain>
      <paraID> ADB8A16</paraID>
      <start>23</start>
      <end>24</end>
      <status>unmodified</status>
      <modifiedWord/>
      <trackRevisions>false</trackRevisions>
    </reviewItem>
    <reviewItem>
      <errorID>14ea013b-93d7-4d4e-afe3-dfc5dada4a93</errorID>
      <errorWord>)</errorWord>
      <group>L1_Format</group>
      <groupName>格式问题</groupName>
      <ability>L2_HalfPunc_CN</ability>
      <abilityName>全半角检查</abilityName>
      <candidateList>
        <item>）</item>
      </candidateList>
      <explain>文本全半角错误。</explain>
      <paraID> ADB8A16</paraID>
      <start>28</start>
      <end>29</end>
      <status>unmodified</status>
      <modifiedWord/>
      <trackRevisions>false</trackRevisions>
    </reviewItem>
    <reviewItem>
      <errorID>e45779bb-062b-470d-8c91-5518e6f2154c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1DA965CF</paraID>
      <start>0</start>
      <end>2</end>
      <status>unmodified</status>
      <modifiedWord/>
      <trackRevisions>false</trackRevisions>
    </reviewItem>
    <reviewItem>
      <errorID>32e96e34-74f0-48d8-9117-715decc63cb7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364DA481</paraID>
      <start>0</start>
      <end>2</end>
      <status>unmodified</status>
      <modifiedWord/>
      <trackRevisions>false</trackRevisions>
    </reviewItem>
    <reviewItem>
      <errorID>2ac557d8-5605-4323-a94d-d1edb45dd21c</errorID>
      <errorWord>况</errorWord>
      <group>L1_Word</group>
      <groupName>字词问题</groupName>
      <ability>L2_Typo</ability>
      <abilityName>字词错误</abilityName>
      <candidateList>
        <item>况和</item>
      </candidateList>
      <explain/>
      <paraID>31840918</paraID>
      <start>44</start>
      <end>45</end>
      <status>unmodified</status>
      <modifiedWord/>
      <trackRevisions>false</trackRevisions>
    </reviewItem>
    <reviewItem>
      <errorID>750ea62a-0bca-486f-a6ed-170bf9287fd8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6DCCEA61</paraID>
      <start>0</start>
      <end>2</end>
      <status>unmodified</status>
      <modifiedWord/>
      <trackRevisions>false</trackRevisions>
    </reviewItem>
    <reviewItem>
      <errorID>2070b433-4dbd-4d28-8d2a-38bbd04986dd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3710F3D0</paraID>
      <start>0</start>
      <end>2</end>
      <status>unmodified</status>
      <modifiedWord/>
      <trackRevisions>false</trackRevisions>
    </reviewItem>
    <reviewItem>
      <errorID>e52899be-b042-4674-8c4a-5fb9759dcb4f</errorID>
      <errorWord>(</errorWord>
      <group>L1_Format</group>
      <groupName>格式问题</groupName>
      <ability>L2_HalfPunc_CN</ability>
      <abilityName>全半角检查</abilityName>
      <candidateList>
        <item>（</item>
      </candidateList>
      <explain>文本全半角错误。</explain>
      <paraID>37C2A11C</paraID>
      <start>12</start>
      <end>13</end>
      <status>unmodified</status>
      <modifiedWord/>
      <trackRevisions>false</trackRevisions>
    </reviewItem>
    <reviewItem>
      <errorID>62da2b1a-6886-4a32-98ca-1fd985a4fc20</errorID>
      <errorWord>)</errorWord>
      <group>L1_Format</group>
      <groupName>格式问题</groupName>
      <ability>L2_HalfPunc_CN</ability>
      <abilityName>全半角检查</abilityName>
      <candidateList>
        <item>）</item>
      </candidateList>
      <explain>文本全半角错误。</explain>
      <paraID>37C2A11C</paraID>
      <start>16</start>
      <end>17</end>
      <status>unmodified</status>
      <modifiedWord/>
      <trackRevisions>false</trackRevisions>
    </reviewItem>
    <reviewItem>
      <errorID>14a2a2cb-5a6c-4246-82e7-ac3758f608e2</errorID>
      <errorWord>(</errorWord>
      <group>L1_Format</group>
      <groupName>格式问题</groupName>
      <ability>L2_HalfPunc_CN</ability>
      <abilityName>全半角检查</abilityName>
      <candidateList>
        <item>（</item>
      </candidateList>
      <explain>文本全半角错误。</explain>
      <paraID>1ECE2AEC</paraID>
      <start>5</start>
      <end>6</end>
      <status>unmodified</status>
      <modifiedWord/>
      <trackRevisions>false</trackRevisions>
    </reviewItem>
    <reviewItem>
      <errorID>82d41b4d-be7b-470a-a03e-01ec2b415e77</errorID>
      <errorWord>)</errorWord>
      <group>L1_Format</group>
      <groupName>格式问题</groupName>
      <ability>L2_HalfPunc_CN</ability>
      <abilityName>全半角检查</abilityName>
      <candidateList>
        <item>）</item>
      </candidateList>
      <explain>文本全半角错误。</explain>
      <paraID>1ECE2AEC</paraID>
      <start>8</start>
      <end>9</end>
      <status>unmodified</status>
      <modifiedWord/>
      <trackRevisions>false</trackRevisions>
    </reviewItem>
    <reviewItem>
      <errorID>deede243-2b81-407f-8341-e20abcd8706e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3784B597</paraID>
      <start>0</start>
      <end>2</end>
      <status>unmodified</status>
      <modifiedWord/>
      <trackRevisions>false</trackRevisions>
    </reviewItem>
    <reviewItem>
      <errorID>f16942d8-2abc-4573-a6a7-c4147916d89b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3EA0788C</paraID>
      <start>0</start>
      <end>2</end>
      <status>unmodified</status>
      <modifiedWord/>
      <trackRevisions>false</trackRevisions>
    </reviewItem>
    <reviewItem>
      <errorID>0a374b86-e4c3-4503-9d22-e15c3da84d57</errorID>
      <errorWord>(</errorWord>
      <group>L1_Format</group>
      <groupName>格式问题</groupName>
      <ability>L2_HalfPunc_CN</ability>
      <abilityName>全半角检查</abilityName>
      <candidateList>
        <item>（</item>
      </candidateList>
      <explain>文本全半角错误。</explain>
      <paraID>3EA0788C</paraID>
      <start>108</start>
      <end>109</end>
      <status>unmodified</status>
      <modifiedWord/>
      <trackRevisions>false</trackRevisions>
    </reviewItem>
    <reviewItem>
      <errorID>f57e09c9-de6c-49c4-8586-82eb99d710cc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1EF4D9F0</paraID>
      <start>0</start>
      <end>2</end>
      <status>unmodified</status>
      <modifiedWord/>
      <trackRevisions>false</trackRevisions>
    </reviewItem>
    <reviewItem>
      <errorID>1ade0589-3744-4a64-ac7a-31db86b64fd5</errorID>
      <errorWord>(</errorWord>
      <group>L1_Format</group>
      <groupName>格式问题</groupName>
      <ability>L2_HalfPunc_CN</ability>
      <abilityName>全半角检查</abilityName>
      <candidateList>
        <item>（</item>
      </candidateList>
      <explain>文本全半角错误。</explain>
      <paraID>7F7C6975</paraID>
      <start>7</start>
      <end>8</end>
      <status>unmodified</status>
      <modifiedWord/>
      <trackRevisions>false</trackRevisions>
    </reviewItem>
    <reviewItem>
      <errorID>39621e79-d6d4-4b35-8d4d-aeed1f0be700</errorID>
      <errorWord>)</errorWord>
      <group>L1_Format</group>
      <groupName>格式问题</groupName>
      <ability>L2_HalfPunc_CN</ability>
      <abilityName>全半角检查</abilityName>
      <candidateList>
        <item>）</item>
      </candidateList>
      <explain>文本全半角错误。</explain>
      <paraID>7F7C6975</paraID>
      <start>10</start>
      <end>11</end>
      <status>unmodified</status>
      <modifiedWord/>
      <trackRevisions>false</trackRevisions>
    </reviewItem>
    <reviewItem>
      <errorID>6b341e76-78ef-4e37-a0ef-a68ba5103376</errorID>
      <errorWord>(</errorWord>
      <group>L1_Format</group>
      <groupName>格式问题</groupName>
      <ability>L2_HalfPunc_CN</ability>
      <abilityName>全半角检查</abilityName>
      <candidateList>
        <item>（</item>
      </candidateList>
      <explain>文本全半角错误。</explain>
      <paraID>4669E970</paraID>
      <start>0</start>
      <end>1</end>
      <status>unmodified</status>
      <modifiedWord/>
      <trackRevisions>false</trackRevisions>
    </reviewItem>
    <reviewItem>
      <errorID>d12fda97-8a9a-4771-8a71-9665fc82ead1</errorID>
      <errorWord>)</errorWord>
      <group>L1_Format</group>
      <groupName>格式问题</groupName>
      <ability>L2_HalfPunc_CN</ability>
      <abilityName>全半角检查</abilityName>
      <candidateList>
        <item>）</item>
      </candidateList>
      <explain>文本全半角错误。</explain>
      <paraID>4669E970</paraID>
      <start>22</start>
      <end>23</end>
      <status>unmodified</status>
      <modifiedWord/>
      <trackRevisions>false</trackRevisions>
    </reviewItem>
    <reviewItem>
      <errorID>199ad4e4-e14b-4933-9764-295913417d43</errorID>
      <errorWord>(</errorWord>
      <group>L1_Format</group>
      <groupName>格式问题</groupName>
      <ability>L2_HalfPunc_CN</ability>
      <abilityName>全半角检查</abilityName>
      <candidateList>
        <item>（</item>
      </candidateList>
      <explain>文本全半角错误。</explain>
      <paraID> 7397E8C</paraID>
      <start>25</start>
      <end>26</end>
      <status>unmodified</status>
      <modifiedWord/>
      <trackRevisions>false</trackRevisions>
    </reviewItem>
    <reviewItem>
      <errorID>64e47f7c-9284-4b3f-80de-b480baf0f2c7</errorID>
      <errorWord>)</errorWord>
      <group>L1_Format</group>
      <groupName>格式问题</groupName>
      <ability>L2_HalfPunc_CN</ability>
      <abilityName>全半角检查</abilityName>
      <candidateList>
        <item>）</item>
      </candidateList>
      <explain>文本全半角错误。</explain>
      <paraID> 7397E8C</paraID>
      <start>33</start>
      <end>34</end>
      <status>unmodified</status>
      <modifiedWord/>
      <trackRevisions>false</trackRevisions>
    </reviewItem>
    <reviewItem>
      <errorID>19203c6d-5296-479f-9bc2-bdd91191cd70</errorID>
      <errorWord>)</errorWord>
      <group>L1_Format</group>
      <groupName>格式问题</groupName>
      <ability>L2_HalfPunc_CN</ability>
      <abilityName>全半角检查</abilityName>
      <candidateList>
        <item>）</item>
      </candidateList>
      <explain>文本全半角错误。</explain>
      <paraID> 7397E8C</paraID>
      <start>56</start>
      <end>57</end>
      <status>unmodified</status>
      <modifiedWord/>
      <trackRevisions>false</trackRevisions>
    </reviewItem>
    <reviewItem>
      <errorID>94f38120-ec77-4676-b375-b7dbdd587b8e</errorID>
      <errorWord>)</errorWord>
      <group>L1_Format</group>
      <groupName>格式问题</groupName>
      <ability>L2_HalfPunc_CN</ability>
      <abilityName>全半角检查</abilityName>
      <candidateList>
        <item>）</item>
      </candidateList>
      <explain>文本全半角错误。</explain>
      <paraID> 7397E8C</paraID>
      <start>70</start>
      <end>71</end>
      <status>unmodified</status>
      <modifiedWord/>
      <trackRevisions>false</trackRevisions>
    </reviewItem>
    <reviewItem>
      <errorID>1074bac0-959b-41da-91d4-b29a08840991</errorID>
      <errorWord>(</errorWord>
      <group>L1_Format</group>
      <groupName>格式问题</groupName>
      <ability>L2_HalfPunc_CN</ability>
      <abilityName>全半角检查</abilityName>
      <candidateList>
        <item>（</item>
      </candidateList>
      <explain>文本全半角错误。</explain>
      <paraID> 512413E</paraID>
      <start>7</start>
      <end>8</end>
      <status>unmodified</status>
      <modifiedWord/>
      <trackRevisions>false</trackRevisions>
    </reviewItem>
    <reviewItem>
      <errorID>dc0b6cdd-6c0c-47ad-bf6b-3a86a97e3af7</errorID>
      <errorWord>)</errorWord>
      <group>L1_Format</group>
      <groupName>格式问题</groupName>
      <ability>L2_HalfPunc_CN</ability>
      <abilityName>全半角检查</abilityName>
      <candidateList>
        <item>）</item>
      </candidateList>
      <explain>文本全半角错误。</explain>
      <paraID> 512413E</paraID>
      <start>12</start>
      <end>13</end>
      <status>unmodified</status>
      <modifiedWord/>
      <trackRevisions>false</trackRevisions>
    </reviewItem>
    <reviewItem>
      <errorID>668dc407-942c-4c1d-be13-5071040c406e</errorID>
      <errorWord>(</errorWord>
      <group>L1_Format</group>
      <groupName>格式问题</groupName>
      <ability>L2_HalfPunc_CN</ability>
      <abilityName>全半角检查</abilityName>
      <candidateList>
        <item>（</item>
      </candidateList>
      <explain>文本全半角错误。</explain>
      <paraID>584E9B1B</paraID>
      <start>38</start>
      <end>39</end>
      <status>unmodified</status>
      <modifiedWord/>
      <trackRevisions>false</trackRevisions>
    </reviewItem>
    <reviewItem>
      <errorID>347413bd-9fca-4011-8412-89a665e46df6</errorID>
      <errorWord>)</errorWord>
      <group>L1_Format</group>
      <groupName>格式问题</groupName>
      <ability>L2_HalfPunc_CN</ability>
      <abilityName>全半角检查</abilityName>
      <candidateList>
        <item>）</item>
      </candidateList>
      <explain>文本全半角错误。</explain>
      <paraID>584E9B1B</paraID>
      <start>48</start>
      <end>49</end>
      <status>unmodified</status>
      <modifiedWord/>
      <trackRevisions>false</trackRevisions>
    </reviewItem>
    <reviewItem>
      <errorID>2a6f1f96-4063-49a4-a224-999ce8fbd4a6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73A2BAB7</paraID>
      <start>0</start>
      <end>2</end>
      <status>unmodified</status>
      <modifiedWord/>
      <trackRevisions>false</trackRevisions>
    </reviewItem>
    <reviewItem>
      <errorID>f1ad2e93-9da7-4bbd-8c88-9b0253580f47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31989E6F</paraID>
      <start>0</start>
      <end>2</end>
      <status>unmodified</status>
      <modifiedWord/>
      <trackRevisions>false</trackRevisions>
    </reviewItem>
    <reviewItem>
      <errorID>3f2162a9-bc11-4aa6-85e3-9794fe885ea6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3B45C723</paraID>
      <start>0</start>
      <end>2</end>
      <status>unmodified</status>
      <modifiedWord/>
      <trackRevisions>false</trackRevisions>
    </reviewItem>
    <reviewItem>
      <errorID>dc0ae8b6-0a41-45d2-b9fe-bd1e8c7fd90d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541E2700</paraID>
      <start>0</start>
      <end>2</end>
      <status>unmodified</status>
      <modifiedWord/>
      <trackRevisions>false</trackRevisions>
    </reviewItem>
    <reviewItem>
      <errorID>af3f099e-86ba-4156-b977-639aeaaa02fa</errorID>
      <errorWord>(</errorWord>
      <group>L1_Format</group>
      <groupName>格式问题</groupName>
      <ability>L2_HalfPunc_CN</ability>
      <abilityName>全半角检查</abilityName>
      <candidateList>
        <item>（</item>
      </candidateList>
      <explain>文本全半角错误。</explain>
      <paraID>757D56D4</paraID>
      <start>8</start>
      <end>9</end>
      <status>unmodified</status>
      <modifiedWord/>
      <trackRevisions>false</trackRevisions>
    </reviewItem>
    <reviewItem>
      <errorID>333013e5-d216-4601-b318-41a1da14287a</errorID>
      <errorWord>在</errorWord>
      <group>L1_Word</group>
      <groupName>字词问题</groupName>
      <ability>L2_Typo</ability>
      <abilityName>字词错误</abilityName>
      <candidateList>
        <item>在行</item>
      </candidateList>
      <explain/>
      <paraID>757D56D4</paraID>
      <start>33</start>
      <end>34</end>
      <status>unmodified</status>
      <modifiedWord/>
      <trackRevisions>false</trackRevisions>
    </reviewItem>
    <reviewItem>
      <errorID>98783741-c259-4694-a9cc-7f6cfb6b2231</errorID>
      <errorWord>(</errorWord>
      <group>L1_Punc</group>
      <groupName>标点问题</groupName>
      <ability>L2_Punc_CN</ability>
      <abilityName>标点符号检查</abilityName>
      <candidateList/>
      <explain>同一形式括号套用。</explain>
      <paraID>757D56D4</paraID>
      <start>40</start>
      <end>41</end>
      <status>unmodified</status>
      <modifiedWord/>
      <trackRevisions>false</trackRevisions>
    </reviewItem>
    <reviewItem>
      <errorID>06630743-7131-4062-a3d2-70258f05d2e0</errorID>
      <errorWord>)</errorWord>
      <group>L1_Punc</group>
      <groupName>标点问题</groupName>
      <ability>L2_Punc_CN</ability>
      <abilityName>标点符号检查</abilityName>
      <candidateList/>
      <explain>同一形式括号套用。</explain>
      <paraID>757D56D4</paraID>
      <start>63</start>
      <end>64</end>
      <status>unmodified</status>
      <modifiedWord/>
      <trackRevisions>false</trackRevisions>
    </reviewItem>
    <reviewItem>
      <errorID>8e1e8aa0-f146-4711-9df7-83253f56777b</errorID>
      <errorWord>;</errorWord>
      <group>L1_Format</group>
      <groupName>格式问题</groupName>
      <ability>L2_HalfPunc_CN</ability>
      <abilityName>全半角检查</abilityName>
      <candidateList>
        <item>；</item>
      </candidateList>
      <explain>文本全半角错误。</explain>
      <paraID>757D56D4</paraID>
      <start>65</start>
      <end>66</end>
      <status>unmodified</status>
      <modifiedWord/>
      <trackRevisions>false</trackRevisions>
    </reviewItem>
    <reviewItem>
      <errorID>f6d1fc95-0b32-4c47-938f-7a8e5d0f281e</errorID>
      <errorWord>)</errorWord>
      <group>L1_Format</group>
      <groupName>格式问题</groupName>
      <ability>L2_HalfPunc_CN</ability>
      <abilityName>全半角检查</abilityName>
      <candidateList>
        <item>）</item>
      </candidateList>
      <explain>文本全半角错误。</explain>
      <paraID>757D56D4</paraID>
      <start>81</start>
      <end>82</end>
      <status>unmodified</status>
      <modifiedWord/>
      <trackRevisions>false</trackRevisions>
    </reviewItem>
    <reviewItem>
      <errorID>b3044f82-ca27-4fa8-9f39-28bb8cf5a4a7</errorID>
      <errorWord>(</errorWord>
      <group>L1_Format</group>
      <groupName>格式问题</groupName>
      <ability>L2_HalfPunc_CN</ability>
      <abilityName>全半角检查</abilityName>
      <candidateList>
        <item>（</item>
      </candidateList>
      <explain>文本全半角错误。</explain>
      <paraID>68BBF1C7</paraID>
      <start>8</start>
      <end>9</end>
      <status>unmodified</status>
      <modifiedWord/>
      <trackRevisions>false</trackRevisions>
    </reviewItem>
    <reviewItem>
      <errorID>22d0a244-2ef7-4bd3-ac91-065fb4bb1e5b</errorID>
      <errorWord>)</errorWord>
      <group>L1_Format</group>
      <groupName>格式问题</groupName>
      <ability>L2_HalfPunc_CN</ability>
      <abilityName>全半角检查</abilityName>
      <candidateList>
        <item>）</item>
      </candidateList>
      <explain>文本全半角错误。</explain>
      <paraID>68BBF1C7</paraID>
      <start>23</start>
      <end>24</end>
      <status>unmodified</status>
      <modifiedWord/>
      <trackRevisions>false</trackRevisions>
    </reviewItem>
    <reviewItem>
      <errorID>67866505-45dc-45ed-84ae-33e1f810cb3e</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18BF8A9B</paraID>
      <start>23</start>
      <end>26</end>
      <status>unmodified</status>
      <modifiedWord/>
      <trackRevisions>false</trackRevisions>
    </reviewItem>
    <reviewItem>
      <errorID>dcf0b6bc-7f99-449f-b2a2-8c89de6f903d</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18BF8A9B</paraID>
      <start>58</start>
      <end>61</end>
      <status>unmodified</status>
      <modifiedWord/>
      <trackRevisions>false</trackRevisions>
    </reviewItem>
    <reviewItem>
      <errorID>8e6d667b-f16f-4d34-97fc-a0b42ec4cc7e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51A1D2D1</paraID>
      <start>0</start>
      <end>2</end>
      <status>unmodified</status>
      <modifiedWord/>
      <trackRevisions>false</trackRevisions>
    </reviewItem>
    <reviewItem>
      <errorID>e71fb104-0a16-4691-98b0-28df4ea21ba7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32FC965D</paraID>
      <start>0</start>
      <end>2</end>
      <status>unmodified</status>
      <modifiedWord/>
      <trackRevisions>false</trackRevisions>
    </reviewItem>
    <reviewItem>
      <errorID>80563074-d657-4064-8d20-f4692f3d8103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5E3E0E3C</paraID>
      <start>34</start>
      <end>35</end>
      <status>unmodified</status>
      <modifiedWord/>
      <trackRevisions>false</trackRevisions>
    </reviewItem>
    <reviewItem>
      <errorID>e0d2f5cb-93bc-4b8e-be7d-dfc5b93223b8</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5E3E0E3C</paraID>
      <start>42</start>
      <end>43</end>
      <status>unmodified</status>
      <modifiedWord/>
      <trackRevisions>false</trackRevisions>
    </reviewItem>
    <reviewItem>
      <errorID>ed439886-12a3-4ffa-be01-434df0d60019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7203576A</paraID>
      <start>14</start>
      <end>15</end>
      <status>unmodified</status>
      <modifiedWord/>
      <trackRevisions>false</trackRevisions>
    </reviewItem>
    <reviewItem>
      <errorID>9e585066-c012-4ba1-83c1-1f80d58a5627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7203576A</paraID>
      <start>20</start>
      <end>21</end>
      <status>unmodified</status>
      <modifiedWord/>
      <trackRevisions>false</trackRevisions>
    </reviewItem>
    <reviewItem>
      <errorID>176f0d60-ec9f-4ad8-9276-0513f673ee21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7203576A</paraID>
      <start>25</start>
      <end>26</end>
      <status>unmodified</status>
      <modifiedWord/>
      <trackRevisions>false</trackRevisions>
    </reviewItem>
    <reviewItem>
      <errorID>cc71c3bd-b4e0-468a-b7f9-16f6e76b9a05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604E923</paraID>
      <start>18</start>
      <end>19</end>
      <status>unmodified</status>
      <modifiedWord/>
      <trackRevisions>false</trackRevisions>
    </reviewItem>
    <reviewItem>
      <errorID>ab2bc5d2-759c-44ad-a638-622f908c1d47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604E923</paraID>
      <start>43</start>
      <end>44</end>
      <status>unmodified</status>
      <modifiedWord/>
      <trackRevisions>false</trackRevisions>
    </reviewItem>
    <reviewItem>
      <errorID>84f0bcaf-e764-47bf-ad5d-9a3492de7e40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604E923</paraID>
      <start>74</start>
      <end>75</end>
      <status>unmodified</status>
      <modifiedWord/>
      <trackRevisions>false</trackRevisions>
    </reviewItem>
    <reviewItem>
      <errorID>914140a9-bcf0-414a-beac-7640d5c8da4c</errorID>
      <errorWord>需具备</errorWord>
      <group>L1_Word</group>
      <groupName>字词问题</groupName>
      <ability>L2_Typo</ability>
      <abilityName>字词错误</abilityName>
      <candidateList>
        <item>须具备</item>
      </candidateList>
      <explain/>
      <paraID>677D2B59</paraID>
      <start>11</start>
      <end>14</end>
      <status>unmodified</status>
      <modifiedWord/>
      <trackRevisions>false</trackRevisions>
    </reviewItem>
    <reviewItem>
      <errorID>dfb62661-3c3a-4bc2-98a6-7daf9e1177b5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677D2B59</paraID>
      <start>81</start>
      <end>82</end>
      <status>unmodified</status>
      <modifiedWord/>
      <trackRevisions>false</trackRevisions>
    </reviewItem>
    <reviewItem>
      <errorID>71c84007-8483-41e0-9fe3-78c9cab9207c</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677D2B59</paraID>
      <start>86</start>
      <end>87</end>
      <status>unmodified</status>
      <modifiedWord/>
      <trackRevisions>false</trackRevisions>
    </reviewItem>
    <reviewItem>
      <errorID>70c30ec1-3851-4ed2-90e0-b5e9629d7a38</errorID>
      <errorWord>没</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1CD61F02</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5F66A241-F8AE-4BCF-87EF-A842FFC27E82}">
  <ds:schemaRefs/>
</ds:datastoreItem>
</file>

<file path=customXml/itemProps2.xml><?xml version="1.0" encoding="utf-8"?>
<ds:datastoreItem xmlns:ds="http://schemas.openxmlformats.org/officeDocument/2006/customXml" ds:itemID="{54e4dd47-7d0e-4219-8247-0d54620f5c5a}">
  <ds:schemaRefs/>
</ds:datastoreItem>
</file>

<file path=docProps/app.xml><?xml version="1.0" encoding="utf-8"?>
<Properties xmlns="http://schemas.openxmlformats.org/officeDocument/2006/extended-properties" xmlns:vt="http://schemas.openxmlformats.org/officeDocument/2006/docPropsVTypes">
  <Template>Normal</Template>
  <Pages>36</Pages>
  <Words>2701</Words>
  <Characters>3113</Characters>
  <Lines>131</Lines>
  <Paragraphs>36</Paragraphs>
  <TotalTime>2</TotalTime>
  <ScaleCrop>false</ScaleCrop>
  <LinksUpToDate>false</LinksUpToDate>
  <CharactersWithSpaces>3399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2024-05-15T02:32:00Z</dcterms:created>
  <dc:creator>Administrator</dc:creator>
  <cp:lastModifiedBy>曹庆</cp:lastModifiedBy>
  <cp:lastPrinted>2026-06-01T08:46:00Z</cp:lastPrinted>
  <dcterms:modified xsi:type="dcterms:W3CDTF">2026-06-03T06:59:39Z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eyJoZGlkIjoiYzM0YzIyZDhiMjEyNGVmODZmN2I3ZTlhYjVmNzM2OWYiLCJ1c2VySWQiOiIyNjc5MTk5MDUifQ==</vt:lpwstr>
  </property>
  <property fmtid="{D5CDD505-2E9C-101B-9397-08002B2CF9AE}" pid="3" name="KSOProductBuildVer">
    <vt:lpwstr>2052-12.1.0.26375</vt:lpwstr>
  </property>
  <property fmtid="{D5CDD505-2E9C-101B-9397-08002B2CF9AE}" pid="4" name="ICV">
    <vt:lpwstr>09C2870E4EA6478685256FEDD9F2DEBC_13</vt:lpwstr>
  </property>
</Properties>
</file>